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411412" w:rsidRPr="00411412" w:rsidTr="00C5005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2611</w:t>
            </w:r>
          </w:p>
        </w:tc>
      </w:tr>
      <w:tr w:rsidR="00411412" w:rsidRPr="00411412" w:rsidTr="00C5005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MOLEKULSKE OSNOVE METASTAZIRANJA</w:t>
            </w:r>
          </w:p>
        </w:tc>
      </w:tr>
      <w:tr w:rsidR="00411412" w:rsidRPr="00411412" w:rsidTr="00C50053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11412" w:rsidRPr="00411412" w:rsidTr="00C5005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11412" w:rsidRPr="00411412" w:rsidTr="00C50053">
        <w:trPr>
          <w:trHeight w:val="328"/>
        </w:trPr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411412" w:rsidRPr="00411412" w:rsidTr="00C5005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A8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oc.dr</w:t>
            </w:r>
            <w:proofErr w:type="spellEnd"/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Maja Herak </w:t>
            </w:r>
            <w:proofErr w:type="spellStart"/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Bosnar</w:t>
            </w:r>
            <w:proofErr w:type="spellEnd"/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znanstvena s</w:t>
            </w:r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avjetnica</w:t>
            </w:r>
          </w:p>
        </w:tc>
      </w:tr>
      <w:tr w:rsidR="00411412" w:rsidRPr="00411412" w:rsidTr="00C5005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Institut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Rudjer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Bošković, Zavod za molekularnu medicinu</w:t>
            </w:r>
          </w:p>
        </w:tc>
      </w:tr>
      <w:tr w:rsidR="00411412" w:rsidRPr="00411412" w:rsidTr="00C5005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 </w:t>
            </w: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x</w:t>
            </w: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izborni </w:t>
            </w:r>
          </w:p>
        </w:tc>
      </w:tr>
      <w:tr w:rsidR="00411412" w:rsidRPr="00411412" w:rsidTr="00C50053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6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Cilj predmeta je upoznati polaznike s najnovijim znanstvenim dostignućima u vezi nastanka i širenja metastaza kao osnovnog uzroka smrtnosti u oboljelih od tumorskih bolesti. Polaznici bi bili upoznati s molekularnim mehanizmima koji do toga dovode, tehnikama koje se koriste u istraživanjima, te najnovijim dostignućima u dijagnostici i liječenju metastaza te kako povezati dostignuća bazičnih istraživanja s potrebama u dijagnostici i liječenju.</w:t>
            </w:r>
          </w:p>
        </w:tc>
      </w:tr>
      <w:tr w:rsidR="00411412" w:rsidRPr="00411412" w:rsidTr="00C50053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411412" w:rsidRPr="00411412" w:rsidRDefault="00411412" w:rsidP="0041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Teme: 1) Osnovni procesi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metastaziranja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(odvajanje od ishodišnog tkiva, prodor u krvotok, naseljavanje udaljenih tkiva i organa), 2.)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supresori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metastaziranja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poglavito gen nm23/NDPK, 3.) uloga adhezijskih molekula (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katenina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kadherina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integrina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Rho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-GTP-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aza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metastaziranju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4.)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metaloproteinaze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njihovi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5.)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neovaskularizacija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6.) pregled najnovijih tehnika u istraživanju molekularnih mehanizama nastajanja i širenja metastaza (mikro 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makročipovi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7.) najnovije spoznaje u dijagnostici i liječenju metastaza. 8.) praktični prikaz vizualizacije adhezijskih molekula 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metastaziranja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uz pomoć fluorescentne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imunocitokemije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tehnologije koja rabi zeleni fluorescentni protein i fluorescentnu mikroskopiju te praktični prikaz osnovnih tehnika detekcije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invazivnosti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stanica u kulturi. </w:t>
            </w:r>
          </w:p>
        </w:tc>
      </w:tr>
      <w:tr w:rsidR="00411412" w:rsidRPr="00411412" w:rsidTr="00C50053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1" w:rsidRDefault="00335D51" w:rsidP="00335D51">
            <w:pPr>
              <w:pStyle w:val="BodyText"/>
            </w:pPr>
            <w:r w:rsidRPr="003C0E2B">
              <w:t>Nakon</w:t>
            </w:r>
            <w:r>
              <w:t xml:space="preserve"> odslušanog kolegija student će:</w:t>
            </w:r>
          </w:p>
          <w:p w:rsidR="00335D51" w:rsidRDefault="00335D51" w:rsidP="00335D51">
            <w:pPr>
              <w:pStyle w:val="BodyText"/>
            </w:pPr>
            <w:r>
              <w:t xml:space="preserve">-razumjeti osnove procesa </w:t>
            </w:r>
            <w:proofErr w:type="spellStart"/>
            <w:r>
              <w:t>metastaziranja</w:t>
            </w:r>
            <w:proofErr w:type="spellEnd"/>
            <w:r>
              <w:t xml:space="preserve">, način na koji se ti procesi odvijaju i koje molekule sudjeluju u tim procesima te dobiti uvid u moguće terapijske postupke vezane uz supresiju </w:t>
            </w:r>
            <w:proofErr w:type="spellStart"/>
            <w:r>
              <w:t>metastaziranja</w:t>
            </w:r>
            <w:proofErr w:type="spellEnd"/>
          </w:p>
          <w:p w:rsidR="00335D51" w:rsidRDefault="00335D51" w:rsidP="00335D51">
            <w:pPr>
              <w:pStyle w:val="BodyText"/>
            </w:pPr>
            <w:r>
              <w:t xml:space="preserve">-biti sposoban čitati i razumjeti literaturu koja se bavi područjem </w:t>
            </w:r>
            <w:proofErr w:type="spellStart"/>
            <w:r>
              <w:t>metastaziranja</w:t>
            </w:r>
            <w:proofErr w:type="spellEnd"/>
          </w:p>
          <w:p w:rsidR="00335D51" w:rsidRDefault="00335D51" w:rsidP="00335D51">
            <w:pPr>
              <w:pStyle w:val="BodyText"/>
            </w:pPr>
            <w:r>
              <w:t xml:space="preserve">-biti upoznat s tehnikama pomoću kojih se proučavaju mehanizmi </w:t>
            </w:r>
            <w:proofErr w:type="spellStart"/>
            <w:r>
              <w:t>metastaziranja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, u laboratoriju</w:t>
            </w:r>
          </w:p>
          <w:p w:rsidR="00335D51" w:rsidRDefault="00335D51" w:rsidP="00335D51">
            <w:pPr>
              <w:pStyle w:val="BodyText"/>
            </w:pPr>
            <w:r>
              <w:t xml:space="preserve">-biti sposoban kritički izdvojiti relevantne podatke s interneta vezanih uz istraživanje </w:t>
            </w:r>
            <w:proofErr w:type="spellStart"/>
            <w:r>
              <w:t>metastaziranja</w:t>
            </w:r>
            <w:proofErr w:type="spellEnd"/>
            <w:r>
              <w:t xml:space="preserve"> koji ga/ju interesiraju u vlastitom radu</w:t>
            </w:r>
          </w:p>
          <w:p w:rsidR="00411412" w:rsidRPr="00411412" w:rsidRDefault="00411412" w:rsidP="0041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11412" w:rsidRPr="00411412" w:rsidTr="00C50053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</w:t>
            </w:r>
          </w:p>
        </w:tc>
      </w:tr>
      <w:tr w:rsidR="00411412" w:rsidRPr="00411412" w:rsidTr="00C50053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11412" w:rsidRPr="00411412" w:rsidTr="00C5005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A81DE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411412" w:rsidRPr="00411412" w:rsidTr="00C5005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15</w:t>
            </w:r>
          </w:p>
        </w:tc>
      </w:tr>
      <w:tr w:rsidR="00411412" w:rsidRPr="00411412" w:rsidTr="00C50053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11412" w:rsidRPr="00411412" w:rsidTr="00C5005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411412" w:rsidRPr="00411412" w:rsidTr="00C5005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411412" w:rsidRPr="00411412" w:rsidTr="00C50053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11412" w:rsidRPr="00411412" w:rsidTr="00C50053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nastave.</w:t>
            </w:r>
          </w:p>
        </w:tc>
      </w:tr>
      <w:tr w:rsidR="00411412" w:rsidRPr="00411412" w:rsidTr="00C5005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11412" w:rsidRPr="00411412" w:rsidTr="00C5005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411412" w:rsidRPr="00411412" w:rsidTr="00C5005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411412" w:rsidRPr="00411412" w:rsidTr="00C5005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411412" w:rsidRPr="00411412" w:rsidTr="00C5005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411412" w:rsidRPr="00411412" w:rsidTr="00C5005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1" w:rsidRPr="00335D51" w:rsidRDefault="00335D51" w:rsidP="00335D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Deželjin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Herak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Bosnar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-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recent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insights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challenging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new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therapeutic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approaches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Periodicum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biologorum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114: 453-459, 2012.</w:t>
            </w:r>
          </w:p>
          <w:p w:rsidR="00335D51" w:rsidRPr="00335D51" w:rsidRDefault="00335D51" w:rsidP="00335D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Brown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Murray: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Current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mechanistic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insights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into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roles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matrix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metalloproteinases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tumour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invasion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Pathol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237,  273,  2015 </w:t>
            </w:r>
          </w:p>
          <w:p w:rsidR="00335D51" w:rsidRPr="00335D51" w:rsidRDefault="00335D51" w:rsidP="00335D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Krakhmal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Invasion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Patterns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Mechanisms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Acta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Naturae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7, 17, 2014</w:t>
            </w:r>
          </w:p>
          <w:p w:rsidR="00335D51" w:rsidRPr="00335D51" w:rsidRDefault="00335D51" w:rsidP="00335D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Chaffer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Weinberg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perspective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Science:331, 1559, 2011.</w:t>
            </w:r>
          </w:p>
          <w:p w:rsidR="00335D51" w:rsidRPr="00335D51" w:rsidRDefault="00335D51" w:rsidP="00335D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Eccles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Welch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recent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discoveries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novel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treatment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strategies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Lancet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369: 1742, 2007.</w:t>
            </w:r>
          </w:p>
          <w:p w:rsidR="00411412" w:rsidRPr="00411412" w:rsidRDefault="00411412" w:rsidP="00335D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51" w:rsidRPr="00335D51" w:rsidRDefault="00335D51" w:rsidP="00335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De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Franceschi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Integrin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traffic-an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update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Science 128, 839, 2015.</w:t>
            </w:r>
          </w:p>
          <w:p w:rsidR="00335D51" w:rsidRPr="00335D51" w:rsidRDefault="00335D51" w:rsidP="00335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Aguirre-Ghiso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Models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mechanisms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evidence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dormancy.Nature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7:835, 2007</w:t>
            </w:r>
          </w:p>
          <w:p w:rsidR="00335D51" w:rsidRPr="00335D51" w:rsidRDefault="00335D51" w:rsidP="00335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Berger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Metastasis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suppressor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genes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4: 805, 2005</w:t>
            </w:r>
          </w:p>
          <w:p w:rsidR="00411412" w:rsidRPr="00335D51" w:rsidRDefault="00335D51" w:rsidP="00335D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Guarino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Epithelial-mesenchymal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transition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tumour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invasion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Biochem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335D5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39: 2153, 2007</w:t>
            </w:r>
          </w:p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11412" w:rsidRPr="00411412" w:rsidTr="00C50053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12" w:rsidRPr="00411412" w:rsidRDefault="00411412" w:rsidP="0041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Kvaliteta i uspješnost izvedbe kolegija pratila bi se anonimnim upitnikom uz sugestije za poboljšanje nastave. Uspješnost kolegija evaluirati će svake godine zajedničko stručno povjerenstvo Instituta </w:t>
            </w:r>
            <w:proofErr w:type="spellStart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Rudjer</w:t>
            </w:r>
            <w:proofErr w:type="spellEnd"/>
            <w:r w:rsidRPr="0041141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5FAD2E63"/>
    <w:multiLevelType w:val="multilevel"/>
    <w:tmpl w:val="A02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2F6943"/>
    <w:multiLevelType w:val="multilevel"/>
    <w:tmpl w:val="F812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35D51"/>
    <w:rsid w:val="003533B2"/>
    <w:rsid w:val="0035634B"/>
    <w:rsid w:val="0037401D"/>
    <w:rsid w:val="003A6434"/>
    <w:rsid w:val="003C4832"/>
    <w:rsid w:val="003C4AC4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8A59C6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81DED"/>
    <w:rsid w:val="00A97795"/>
    <w:rsid w:val="00AA4A72"/>
    <w:rsid w:val="00AD0F82"/>
    <w:rsid w:val="00B8590C"/>
    <w:rsid w:val="00B94D94"/>
    <w:rsid w:val="00BA4738"/>
    <w:rsid w:val="00C3715D"/>
    <w:rsid w:val="00C50053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F18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aliases w:val="uvlaka 3,uvlaka 2"/>
    <w:basedOn w:val="Normal"/>
    <w:link w:val="BodyTextChar"/>
    <w:uiPriority w:val="99"/>
    <w:rsid w:val="00335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3 Char,uvlaka 2 Char"/>
    <w:basedOn w:val="DefaultParagraphFont"/>
    <w:link w:val="BodyText"/>
    <w:uiPriority w:val="99"/>
    <w:rsid w:val="00335D5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2016-03-17T10:40:00Z</dcterms:created>
  <dcterms:modified xsi:type="dcterms:W3CDTF">2020-02-13T19:20:00Z</dcterms:modified>
</cp:coreProperties>
</file>