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320"/>
        <w:gridCol w:w="27"/>
        <w:gridCol w:w="553"/>
        <w:gridCol w:w="243"/>
        <w:gridCol w:w="837"/>
        <w:gridCol w:w="540"/>
        <w:gridCol w:w="493"/>
        <w:gridCol w:w="407"/>
        <w:gridCol w:w="2457"/>
      </w:tblGrid>
      <w:tr w:rsidR="00C3715D" w:rsidRPr="00C3715D" w:rsidTr="00C3715D">
        <w:tc>
          <w:tcPr>
            <w:tcW w:w="2249" w:type="dxa"/>
            <w:gridSpan w:val="3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236" w:type="dxa"/>
            <w:gridSpan w:val="17"/>
          </w:tcPr>
          <w:p w:rsidR="00C3715D" w:rsidRPr="00C3715D" w:rsidRDefault="00C3715D" w:rsidP="00C3715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2515</w:t>
            </w:r>
          </w:p>
        </w:tc>
      </w:tr>
      <w:tr w:rsidR="00C3715D" w:rsidRPr="00C3715D" w:rsidTr="00C3715D">
        <w:tc>
          <w:tcPr>
            <w:tcW w:w="2249" w:type="dxa"/>
            <w:gridSpan w:val="3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236" w:type="dxa"/>
            <w:gridSpan w:val="17"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ANALIZA GENETSKE RAZNOLIKOSTI BILJAKA</w:t>
            </w:r>
          </w:p>
        </w:tc>
      </w:tr>
      <w:tr w:rsidR="00C3715D" w:rsidRPr="00C3715D" w:rsidTr="00C3715D">
        <w:trPr>
          <w:trHeight w:val="311"/>
        </w:trPr>
        <w:tc>
          <w:tcPr>
            <w:tcW w:w="10485" w:type="dxa"/>
            <w:gridSpan w:val="20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C3715D" w:rsidRPr="00C3715D" w:rsidTr="00C3715D">
        <w:tc>
          <w:tcPr>
            <w:tcW w:w="2606" w:type="dxa"/>
            <w:gridSpan w:val="5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7879" w:type="dxa"/>
            <w:gridSpan w:val="15"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C3715D" w:rsidRPr="00C3715D" w:rsidTr="00C3715D">
        <w:tc>
          <w:tcPr>
            <w:tcW w:w="2606" w:type="dxa"/>
            <w:gridSpan w:val="5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7879" w:type="dxa"/>
            <w:gridSpan w:val="15"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Biologija biljaka</w:t>
            </w:r>
          </w:p>
        </w:tc>
      </w:tr>
      <w:tr w:rsidR="00C3715D" w:rsidRPr="00C3715D" w:rsidTr="00C3715D">
        <w:tc>
          <w:tcPr>
            <w:tcW w:w="2606" w:type="dxa"/>
            <w:gridSpan w:val="5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7879" w:type="dxa"/>
            <w:gridSpan w:val="15"/>
          </w:tcPr>
          <w:p w:rsidR="008A0A77" w:rsidRPr="00C3715D" w:rsidRDefault="008A0A77" w:rsidP="008A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Izv.prof</w:t>
            </w:r>
            <w:proofErr w:type="spellEnd"/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dr. </w:t>
            </w:r>
            <w:proofErr w:type="spellStart"/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</w:t>
            </w:r>
            <w:proofErr w:type="spellEnd"/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Domagoj Šimić, znanstveni savjetnik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– trajno zvanje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  <w:t>1</w:t>
            </w:r>
          </w:p>
          <w:p w:rsidR="00C3715D" w:rsidRPr="00C3715D" w:rsidRDefault="008A0A77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Izv.prof</w:t>
            </w:r>
            <w:r w:rsidR="00C3715D"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.dr.sc. Sonja Petrović</w:t>
            </w:r>
            <w:r w:rsidR="00C3715D" w:rsidRPr="00C3715D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  <w:t>1</w:t>
            </w:r>
          </w:p>
        </w:tc>
      </w:tr>
      <w:tr w:rsidR="00C3715D" w:rsidRPr="00C3715D" w:rsidTr="00C3715D">
        <w:tc>
          <w:tcPr>
            <w:tcW w:w="3708" w:type="dxa"/>
            <w:gridSpan w:val="7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777" w:type="dxa"/>
            <w:gridSpan w:val="13"/>
          </w:tcPr>
          <w:p w:rsidR="008A0A77" w:rsidRDefault="008A0A77" w:rsidP="008A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  <w:t>1</w:t>
            </w:r>
            <w:r w:rsidR="00C3715D"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Poljoprivredni institut Osijek</w:t>
            </w:r>
          </w:p>
          <w:p w:rsidR="008A0A77" w:rsidRPr="00C3715D" w:rsidRDefault="008A0A77" w:rsidP="008A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Fakultet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agrobiotehničkih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znanosti</w:t>
            </w:r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Sveučilište Josipa Jurja Strossmayera u Osijeku</w:t>
            </w:r>
          </w:p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C3715D" w:rsidRPr="00C3715D" w:rsidTr="00C3715D">
        <w:tc>
          <w:tcPr>
            <w:tcW w:w="3708" w:type="dxa"/>
            <w:gridSpan w:val="7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777" w:type="dxa"/>
            <w:gridSpan w:val="13"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C3715D" w:rsidRPr="00C3715D" w:rsidTr="00C3715D">
        <w:trPr>
          <w:trHeight w:val="180"/>
        </w:trPr>
        <w:tc>
          <w:tcPr>
            <w:tcW w:w="2249" w:type="dxa"/>
            <w:gridSpan w:val="3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236" w:type="dxa"/>
            <w:gridSpan w:val="17"/>
          </w:tcPr>
          <w:p w:rsidR="00C3715D" w:rsidRPr="00C3715D" w:rsidRDefault="00C3715D" w:rsidP="00C371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□  obvezni                  X □  izborni </w:t>
            </w:r>
          </w:p>
        </w:tc>
      </w:tr>
      <w:tr w:rsidR="00C3715D" w:rsidRPr="00C3715D" w:rsidTr="00C3715D">
        <w:trPr>
          <w:trHeight w:val="266"/>
        </w:trPr>
        <w:tc>
          <w:tcPr>
            <w:tcW w:w="5751" w:type="dxa"/>
            <w:gridSpan w:val="15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734" w:type="dxa"/>
            <w:gridSpan w:val="5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C3715D" w:rsidRPr="00C3715D" w:rsidTr="00C3715D">
        <w:trPr>
          <w:trHeight w:val="135"/>
        </w:trPr>
        <w:tc>
          <w:tcPr>
            <w:tcW w:w="2249" w:type="dxa"/>
            <w:gridSpan w:val="3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236" w:type="dxa"/>
            <w:gridSpan w:val="17"/>
            <w:tcBorders>
              <w:bottom w:val="nil"/>
            </w:tcBorders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C3715D" w:rsidRPr="00C3715D" w:rsidTr="00C3715D">
        <w:trPr>
          <w:trHeight w:val="931"/>
        </w:trPr>
        <w:tc>
          <w:tcPr>
            <w:tcW w:w="10485" w:type="dxa"/>
            <w:gridSpan w:val="20"/>
            <w:tcBorders>
              <w:top w:val="nil"/>
            </w:tcBorders>
          </w:tcPr>
          <w:p w:rsidR="00C3715D" w:rsidRPr="00C3715D" w:rsidRDefault="00C3715D" w:rsidP="00C3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Proširivanje postojećih i stjecanje novih znanja i vještina iz područja analize genetske raznolikosti biljaka putem teoretskih predavanja i praktičnih vježbi na konkretnim podatcima.  </w:t>
            </w:r>
          </w:p>
        </w:tc>
      </w:tr>
      <w:tr w:rsidR="00C3715D" w:rsidRPr="00C3715D" w:rsidTr="00C3715D">
        <w:trPr>
          <w:trHeight w:val="135"/>
        </w:trPr>
        <w:tc>
          <w:tcPr>
            <w:tcW w:w="2426" w:type="dxa"/>
            <w:gridSpan w:val="4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059" w:type="dxa"/>
            <w:gridSpan w:val="16"/>
            <w:tcBorders>
              <w:bottom w:val="nil"/>
            </w:tcBorders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C3715D" w:rsidRPr="00C3715D" w:rsidTr="00C3715D">
        <w:trPr>
          <w:trHeight w:val="1868"/>
        </w:trPr>
        <w:tc>
          <w:tcPr>
            <w:tcW w:w="10485" w:type="dxa"/>
            <w:gridSpan w:val="20"/>
            <w:tcBorders>
              <w:top w:val="nil"/>
            </w:tcBorders>
          </w:tcPr>
          <w:p w:rsidR="00C3715D" w:rsidRPr="00C3715D" w:rsidRDefault="00C3715D" w:rsidP="00C3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Predmet obuhvaća sljedeća poglavlja: (1) Definicija i značaj genetske raznolikosti biljaka, (2) Definicija </w:t>
            </w:r>
            <w:proofErr w:type="spellStart"/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polimorfizma</w:t>
            </w:r>
            <w:proofErr w:type="spellEnd"/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(3) Domestikacija i svojstva biljaka (vrsta, podvrsta, divlji/udomaćeni </w:t>
            </w:r>
            <w:proofErr w:type="spellStart"/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ekotip</w:t>
            </w:r>
            <w:proofErr w:type="spellEnd"/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populacija, </w:t>
            </w:r>
            <w:proofErr w:type="spellStart"/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kultivar</w:t>
            </w:r>
            <w:proofErr w:type="spellEnd"/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), (4) Gubitak genetske raznolikosti i posljedice, (5) Banke biljnih gena, (6) Fenotip/Genotip, (7) Izbor i kriteriji izbora biljnih gena, (8) Procjena genetske raznolikosti, (9) Metode procjene genetske raznolikosti (frekvencija </w:t>
            </w:r>
            <w:proofErr w:type="spellStart"/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alela</w:t>
            </w:r>
            <w:proofErr w:type="spellEnd"/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genetske distance), (10) Mjere genetske raznolikosti (rata </w:t>
            </w:r>
            <w:proofErr w:type="spellStart"/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polimorfizma</w:t>
            </w:r>
            <w:proofErr w:type="spellEnd"/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proporcija polimorfnih </w:t>
            </w:r>
            <w:proofErr w:type="spellStart"/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lokusa</w:t>
            </w:r>
            <w:proofErr w:type="spellEnd"/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broj </w:t>
            </w:r>
            <w:proofErr w:type="spellStart"/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alela</w:t>
            </w:r>
            <w:proofErr w:type="spellEnd"/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očekivana </w:t>
            </w:r>
            <w:proofErr w:type="spellStart"/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heterozigotnost</w:t>
            </w:r>
            <w:proofErr w:type="spellEnd"/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/populacije, jedinke), (11) Upotreba markera u procjeni raznolikosti (morfološki, molekularni/ </w:t>
            </w:r>
            <w:proofErr w:type="spellStart"/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kodominantni</w:t>
            </w:r>
            <w:proofErr w:type="spellEnd"/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dominantni), (12) Analiza rezultata </w:t>
            </w:r>
            <w:proofErr w:type="spellStart"/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procjenjene</w:t>
            </w:r>
            <w:proofErr w:type="spellEnd"/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divergentnosti (</w:t>
            </w:r>
            <w:proofErr w:type="spellStart"/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dendrogrami</w:t>
            </w:r>
            <w:proofErr w:type="spellEnd"/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PCoA</w:t>
            </w:r>
            <w:proofErr w:type="spellEnd"/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), (13) Pregled računalnih programa za procjenu raznolikosti, (14) Budući trendovi.</w:t>
            </w:r>
          </w:p>
        </w:tc>
      </w:tr>
      <w:tr w:rsidR="00C3715D" w:rsidRPr="00C3715D" w:rsidTr="00C3715D">
        <w:trPr>
          <w:trHeight w:val="135"/>
        </w:trPr>
        <w:tc>
          <w:tcPr>
            <w:tcW w:w="7621" w:type="dxa"/>
            <w:gridSpan w:val="18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2864" w:type="dxa"/>
            <w:gridSpan w:val="2"/>
            <w:tcBorders>
              <w:bottom w:val="nil"/>
            </w:tcBorders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C3715D" w:rsidRPr="00C3715D" w:rsidTr="00C3715D">
        <w:trPr>
          <w:trHeight w:val="701"/>
        </w:trPr>
        <w:tc>
          <w:tcPr>
            <w:tcW w:w="10485" w:type="dxa"/>
            <w:gridSpan w:val="20"/>
            <w:tcBorders>
              <w:top w:val="nil"/>
            </w:tcBorders>
          </w:tcPr>
          <w:p w:rsidR="0002372D" w:rsidRPr="0002372D" w:rsidRDefault="0002372D" w:rsidP="0002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Studenti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će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</w:p>
          <w:p w:rsidR="0002372D" w:rsidRPr="0002372D" w:rsidRDefault="0002372D" w:rsidP="000237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proširiti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steći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nova znanja iz područja molekularne analize genetske raznolikosti biljaka</w:t>
            </w:r>
          </w:p>
          <w:p w:rsidR="0002372D" w:rsidRPr="0002372D" w:rsidRDefault="0002372D" w:rsidP="000237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savladati osnovne korake u procjeni genetske raznolikosti i glavne načine opisivanja genetske raznolikosti unutar i između populacija</w:t>
            </w:r>
          </w:p>
          <w:p w:rsidR="0002372D" w:rsidRPr="0002372D" w:rsidRDefault="0002372D" w:rsidP="000237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osposobiti se za pravilan izbor izračuna genetske distance za procjenu odnosa unutar uzorka kojeg proučavaju, kao i za slikovito prikazivanje dobivenih rezultata</w:t>
            </w:r>
          </w:p>
          <w:p w:rsidR="0002372D" w:rsidRPr="0002372D" w:rsidRDefault="0002372D" w:rsidP="000237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dobiti uvid u postojeće raspoložive genetske izvore i računalne programe za procjenu molekularne raznolikosti</w:t>
            </w:r>
          </w:p>
          <w:p w:rsidR="00C3715D" w:rsidRPr="00C3715D" w:rsidRDefault="00C3715D" w:rsidP="00C3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C3715D" w:rsidRPr="00C3715D" w:rsidTr="00C3715D">
        <w:trPr>
          <w:trHeight w:val="135"/>
        </w:trPr>
        <w:tc>
          <w:tcPr>
            <w:tcW w:w="10485" w:type="dxa"/>
            <w:gridSpan w:val="20"/>
            <w:shd w:val="clear" w:color="auto" w:fill="C0C0C0"/>
          </w:tcPr>
          <w:p w:rsidR="00C3715D" w:rsidRPr="00C3715D" w:rsidRDefault="00C3715D" w:rsidP="00C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C3715D" w:rsidRPr="00C3715D" w:rsidTr="00C3715D">
        <w:tc>
          <w:tcPr>
            <w:tcW w:w="4045" w:type="dxa"/>
            <w:gridSpan w:val="9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440" w:type="dxa"/>
            <w:gridSpan w:val="11"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</w:t>
            </w:r>
          </w:p>
        </w:tc>
      </w:tr>
      <w:tr w:rsidR="00C3715D" w:rsidRPr="00C3715D" w:rsidTr="00C3715D">
        <w:trPr>
          <w:cantSplit/>
        </w:trPr>
        <w:tc>
          <w:tcPr>
            <w:tcW w:w="2426" w:type="dxa"/>
            <w:gridSpan w:val="4"/>
            <w:vMerge w:val="restart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440" w:type="dxa"/>
            <w:gridSpan w:val="11"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20</w:t>
            </w:r>
          </w:p>
        </w:tc>
      </w:tr>
      <w:tr w:rsidR="00C3715D" w:rsidRPr="00C3715D" w:rsidTr="00C3715D">
        <w:trPr>
          <w:cantSplit/>
        </w:trPr>
        <w:tc>
          <w:tcPr>
            <w:tcW w:w="2426" w:type="dxa"/>
            <w:gridSpan w:val="4"/>
            <w:vMerge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  <w:r w:rsidR="008A0A7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(IS)</w:t>
            </w:r>
          </w:p>
        </w:tc>
        <w:tc>
          <w:tcPr>
            <w:tcW w:w="6440" w:type="dxa"/>
            <w:gridSpan w:val="11"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5 </w:t>
            </w:r>
          </w:p>
        </w:tc>
      </w:tr>
      <w:tr w:rsidR="00C3715D" w:rsidRPr="00C3715D" w:rsidTr="00C3715D">
        <w:trPr>
          <w:cantSplit/>
        </w:trPr>
        <w:tc>
          <w:tcPr>
            <w:tcW w:w="2426" w:type="dxa"/>
            <w:gridSpan w:val="4"/>
            <w:vMerge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8A0A7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440" w:type="dxa"/>
            <w:gridSpan w:val="11"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</w:p>
        </w:tc>
      </w:tr>
      <w:tr w:rsidR="00C3715D" w:rsidRPr="00C3715D" w:rsidTr="00C3715D">
        <w:trPr>
          <w:cantSplit/>
        </w:trPr>
        <w:tc>
          <w:tcPr>
            <w:tcW w:w="2426" w:type="dxa"/>
            <w:gridSpan w:val="4"/>
            <w:vMerge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440" w:type="dxa"/>
            <w:gridSpan w:val="11"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30</w:t>
            </w:r>
          </w:p>
        </w:tc>
      </w:tr>
      <w:tr w:rsidR="00C3715D" w:rsidRPr="00C3715D" w:rsidTr="00C3715D">
        <w:trPr>
          <w:trHeight w:val="302"/>
        </w:trPr>
        <w:tc>
          <w:tcPr>
            <w:tcW w:w="10485" w:type="dxa"/>
            <w:gridSpan w:val="20"/>
            <w:shd w:val="clear" w:color="auto" w:fill="C0C0C0"/>
          </w:tcPr>
          <w:p w:rsidR="00C3715D" w:rsidRPr="00C3715D" w:rsidRDefault="00C3715D" w:rsidP="00C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C3715D" w:rsidRPr="00C3715D" w:rsidTr="00C3715D">
        <w:tc>
          <w:tcPr>
            <w:tcW w:w="1546" w:type="dxa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603" w:type="dxa"/>
            <w:gridSpan w:val="6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660" w:type="dxa"/>
            <w:gridSpan w:val="4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3897" w:type="dxa"/>
            <w:gridSpan w:val="4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Samostalni zadaci</w:t>
            </w:r>
          </w:p>
        </w:tc>
      </w:tr>
      <w:tr w:rsidR="00C3715D" w:rsidRPr="00C3715D" w:rsidTr="00C3715D">
        <w:tc>
          <w:tcPr>
            <w:tcW w:w="1546" w:type="dxa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457" w:type="dxa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C3715D" w:rsidRPr="00C3715D" w:rsidTr="00C3715D">
        <w:trPr>
          <w:trHeight w:val="350"/>
        </w:trPr>
        <w:tc>
          <w:tcPr>
            <w:tcW w:w="10485" w:type="dxa"/>
            <w:gridSpan w:val="20"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Napomene: </w:t>
            </w:r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Za izvođenje dijela nastave potrebna je dostupnost računalu/Internetu.  </w:t>
            </w: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</w:t>
            </w:r>
          </w:p>
        </w:tc>
      </w:tr>
      <w:tr w:rsidR="00C3715D" w:rsidRPr="00C3715D" w:rsidTr="00C3715D">
        <w:trPr>
          <w:trHeight w:val="695"/>
        </w:trPr>
        <w:tc>
          <w:tcPr>
            <w:tcW w:w="10485" w:type="dxa"/>
            <w:gridSpan w:val="20"/>
          </w:tcPr>
          <w:p w:rsidR="00C3715D" w:rsidRPr="00C3715D" w:rsidRDefault="00C3715D" w:rsidP="00C3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Obveze studenata: </w:t>
            </w:r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Studenti su obavezni redovito pohađati predavanja (ili doći na konzultacije), aktivno sudjelovati u izvođenju vježbi, te pripremiti i izložiti seminarski rad.</w:t>
            </w:r>
          </w:p>
        </w:tc>
      </w:tr>
      <w:tr w:rsidR="00C3715D" w:rsidRPr="00C3715D" w:rsidTr="00C3715D">
        <w:tc>
          <w:tcPr>
            <w:tcW w:w="10485" w:type="dxa"/>
            <w:gridSpan w:val="20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C3715D" w:rsidRPr="00C3715D" w:rsidTr="00C3715D">
        <w:tc>
          <w:tcPr>
            <w:tcW w:w="2426" w:type="dxa"/>
            <w:gridSpan w:val="4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lastRenderedPageBreak/>
              <w:t>Pohađanje nastave</w:t>
            </w:r>
          </w:p>
        </w:tc>
        <w:tc>
          <w:tcPr>
            <w:tcW w:w="2182" w:type="dxa"/>
            <w:gridSpan w:val="7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357" w:type="dxa"/>
            <w:gridSpan w:val="3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C3715D" w:rsidRPr="00C3715D" w:rsidTr="00C3715D">
        <w:tc>
          <w:tcPr>
            <w:tcW w:w="10485" w:type="dxa"/>
            <w:gridSpan w:val="20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Način ocjenjivanja: </w:t>
            </w:r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Seminarski rad, prezentacija i usmeni ispit koje dogovorno ocjenjuju predavači.</w:t>
            </w:r>
          </w:p>
        </w:tc>
      </w:tr>
      <w:tr w:rsidR="00C3715D" w:rsidRPr="00C3715D" w:rsidTr="00C3715D">
        <w:tc>
          <w:tcPr>
            <w:tcW w:w="1728" w:type="dxa"/>
            <w:gridSpan w:val="2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620" w:type="dxa"/>
            <w:gridSpan w:val="6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Esej/</w:t>
            </w: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Seminar</w:t>
            </w:r>
          </w:p>
        </w:tc>
        <w:tc>
          <w:tcPr>
            <w:tcW w:w="1620" w:type="dxa"/>
            <w:gridSpan w:val="3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357" w:type="dxa"/>
            <w:gridSpan w:val="3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C3715D" w:rsidRPr="00C3715D" w:rsidTr="00C3715D">
        <w:tc>
          <w:tcPr>
            <w:tcW w:w="1728" w:type="dxa"/>
            <w:gridSpan w:val="2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780" w:type="dxa"/>
            <w:gridSpan w:val="12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620" w:type="dxa"/>
            <w:gridSpan w:val="3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357" w:type="dxa"/>
            <w:gridSpan w:val="3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C3715D" w:rsidRPr="00C3715D" w:rsidTr="00C3715D">
        <w:tc>
          <w:tcPr>
            <w:tcW w:w="2426" w:type="dxa"/>
            <w:gridSpan w:val="4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059" w:type="dxa"/>
            <w:gridSpan w:val="16"/>
            <w:tcBorders>
              <w:bottom w:val="nil"/>
            </w:tcBorders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C3715D" w:rsidRPr="00C3715D" w:rsidTr="00C3715D">
        <w:trPr>
          <w:trHeight w:val="977"/>
        </w:trPr>
        <w:tc>
          <w:tcPr>
            <w:tcW w:w="10485" w:type="dxa"/>
            <w:gridSpan w:val="20"/>
            <w:tcBorders>
              <w:top w:val="nil"/>
            </w:tcBorders>
          </w:tcPr>
          <w:p w:rsidR="0002372D" w:rsidRPr="0002372D" w:rsidRDefault="0002372D" w:rsidP="0002372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De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Vicence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MC,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Fulton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 (2000-2004)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Volume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1,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Using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molecular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marker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technology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studies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on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plant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genetic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diversity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Learning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module. International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Plant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Genetic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Resources Institute, Rome,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Italy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Institute for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Genomic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Diversity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Cornell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University,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Ithaca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NY, USA</w:t>
            </w:r>
          </w:p>
          <w:p w:rsidR="0002372D" w:rsidRPr="0002372D" w:rsidRDefault="0002372D" w:rsidP="0002372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De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Vicence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MC, Lopez C,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Fulton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 (2000-2004)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Volume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2,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Genetic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diversity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analysis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with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molecular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marker data,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Learning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module. International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Plant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Genetic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Resources Institute, Rome,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Italy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Universidad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Nacional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Agraria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„La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molina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“, Peru, Institute for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Genomic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Diversity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Cornell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University,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Ithaca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NY, USA</w:t>
            </w:r>
          </w:p>
          <w:p w:rsidR="00C3715D" w:rsidRPr="00C3715D" w:rsidRDefault="0002372D" w:rsidP="0002372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0237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hr-HR"/>
              </w:rPr>
              <w:t>Mondini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hr-HR"/>
              </w:rPr>
              <w:t xml:space="preserve">, L.,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hr-HR"/>
              </w:rPr>
              <w:t>Noorani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hr-HR"/>
              </w:rPr>
              <w:t xml:space="preserve">, A., &amp;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hr-HR"/>
              </w:rPr>
              <w:t>Pagnotta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hr-HR"/>
              </w:rPr>
              <w:t xml:space="preserve">, M. A. (2009). Assessing plant genetic diversity by molecular tools. </w:t>
            </w:r>
            <w:r w:rsidRPr="0002372D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  <w:lang w:val="en-US" w:eastAsia="hr-HR"/>
              </w:rPr>
              <w:t>Diversity</w:t>
            </w:r>
            <w:r w:rsidRPr="000237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hr-HR"/>
              </w:rPr>
              <w:t>,</w:t>
            </w:r>
            <w:r w:rsidRPr="0002372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val="en-US" w:eastAsia="hr-HR"/>
              </w:rPr>
              <w:t xml:space="preserve"> 1</w:t>
            </w:r>
            <w:r w:rsidRPr="000237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hr-HR"/>
              </w:rPr>
              <w:t>(1), 19-35</w:t>
            </w:r>
          </w:p>
        </w:tc>
      </w:tr>
      <w:tr w:rsidR="00C3715D" w:rsidRPr="00C3715D" w:rsidTr="00C3715D">
        <w:tc>
          <w:tcPr>
            <w:tcW w:w="4248" w:type="dxa"/>
            <w:gridSpan w:val="10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237" w:type="dxa"/>
            <w:gridSpan w:val="10"/>
            <w:tcBorders>
              <w:bottom w:val="nil"/>
            </w:tcBorders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C3715D" w:rsidRPr="00C3715D" w:rsidTr="0002372D">
        <w:trPr>
          <w:trHeight w:val="1185"/>
        </w:trPr>
        <w:tc>
          <w:tcPr>
            <w:tcW w:w="10485" w:type="dxa"/>
            <w:gridSpan w:val="20"/>
            <w:tcBorders>
              <w:top w:val="nil"/>
            </w:tcBorders>
          </w:tcPr>
          <w:p w:rsidR="00C3715D" w:rsidRPr="00C3715D" w:rsidRDefault="0002372D" w:rsidP="00C3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Znanstveni časopisi: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Euphytica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Genetics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Genetic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Resources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Crop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Evolution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Heredity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Nature,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Plant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Genetic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Resources,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Plant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Diversity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Evolution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Teoretical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Applied 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Genetics</w:t>
            </w:r>
            <w:proofErr w:type="spellEnd"/>
          </w:p>
        </w:tc>
      </w:tr>
      <w:tr w:rsidR="00C3715D" w:rsidRPr="00C3715D" w:rsidTr="00C3715D">
        <w:tc>
          <w:tcPr>
            <w:tcW w:w="7128" w:type="dxa"/>
            <w:gridSpan w:val="17"/>
            <w:shd w:val="clear" w:color="auto" w:fill="FFFFFF"/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357" w:type="dxa"/>
            <w:gridSpan w:val="3"/>
            <w:tcBorders>
              <w:bottom w:val="nil"/>
            </w:tcBorders>
          </w:tcPr>
          <w:p w:rsidR="00C3715D" w:rsidRPr="00C3715D" w:rsidRDefault="00C3715D" w:rsidP="00C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C3715D" w:rsidRPr="00C3715D" w:rsidTr="00C3715D">
        <w:trPr>
          <w:trHeight w:val="1009"/>
        </w:trPr>
        <w:tc>
          <w:tcPr>
            <w:tcW w:w="10485" w:type="dxa"/>
            <w:gridSpan w:val="20"/>
            <w:tcBorders>
              <w:top w:val="nil"/>
            </w:tcBorders>
          </w:tcPr>
          <w:p w:rsidR="00C3715D" w:rsidRPr="00C3715D" w:rsidRDefault="00C3715D" w:rsidP="00C3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3715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Uspješnost izvedbe predmeta procjenjivat će svake godine zajedničko stručno povjerenstvo Instituta Ruđer Bošković, Sveučilišta u Dubrovniku i Sveučilišta Josipa Jurja Strossmayera u Osijeku na temelju uspjeha na ispitu i upitnika o primjerenosti sadržaja i uspješnosti predavača koji popunjavaju studenti.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34D87494"/>
    <w:multiLevelType w:val="hybridMultilevel"/>
    <w:tmpl w:val="AE684E4C"/>
    <w:lvl w:ilvl="0" w:tplc="F8A8F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2372D"/>
    <w:rsid w:val="000C26DF"/>
    <w:rsid w:val="000C33A5"/>
    <w:rsid w:val="00136FAF"/>
    <w:rsid w:val="00184162"/>
    <w:rsid w:val="001C205E"/>
    <w:rsid w:val="001D6C38"/>
    <w:rsid w:val="001E108B"/>
    <w:rsid w:val="00216981"/>
    <w:rsid w:val="002213EB"/>
    <w:rsid w:val="002548A0"/>
    <w:rsid w:val="0028159E"/>
    <w:rsid w:val="002861C3"/>
    <w:rsid w:val="002976D7"/>
    <w:rsid w:val="003533B2"/>
    <w:rsid w:val="0035634B"/>
    <w:rsid w:val="0037401D"/>
    <w:rsid w:val="003A6434"/>
    <w:rsid w:val="003C4832"/>
    <w:rsid w:val="003C4AC4"/>
    <w:rsid w:val="003E07E8"/>
    <w:rsid w:val="00413846"/>
    <w:rsid w:val="0041451E"/>
    <w:rsid w:val="00431C9F"/>
    <w:rsid w:val="004D2A34"/>
    <w:rsid w:val="0050240B"/>
    <w:rsid w:val="005634A0"/>
    <w:rsid w:val="005705EB"/>
    <w:rsid w:val="00581629"/>
    <w:rsid w:val="005F0E70"/>
    <w:rsid w:val="0061561F"/>
    <w:rsid w:val="006368BB"/>
    <w:rsid w:val="00650F9D"/>
    <w:rsid w:val="00753EAC"/>
    <w:rsid w:val="007D3A46"/>
    <w:rsid w:val="007F0FE7"/>
    <w:rsid w:val="008517D5"/>
    <w:rsid w:val="0085274E"/>
    <w:rsid w:val="00863D6D"/>
    <w:rsid w:val="008A0A77"/>
    <w:rsid w:val="008A53BE"/>
    <w:rsid w:val="0090157B"/>
    <w:rsid w:val="00913A4E"/>
    <w:rsid w:val="00937D17"/>
    <w:rsid w:val="009C06CE"/>
    <w:rsid w:val="009D251F"/>
    <w:rsid w:val="009F20F4"/>
    <w:rsid w:val="00A44ED9"/>
    <w:rsid w:val="00A65403"/>
    <w:rsid w:val="00A71750"/>
    <w:rsid w:val="00A97795"/>
    <w:rsid w:val="00AA4A72"/>
    <w:rsid w:val="00AD0F82"/>
    <w:rsid w:val="00B8590C"/>
    <w:rsid w:val="00B94D94"/>
    <w:rsid w:val="00BA4738"/>
    <w:rsid w:val="00C3715D"/>
    <w:rsid w:val="00CA4CEF"/>
    <w:rsid w:val="00CC3425"/>
    <w:rsid w:val="00D94022"/>
    <w:rsid w:val="00DD0F31"/>
    <w:rsid w:val="00DE47D7"/>
    <w:rsid w:val="00E16DF1"/>
    <w:rsid w:val="00E3269F"/>
    <w:rsid w:val="00E4133A"/>
    <w:rsid w:val="00E56E68"/>
    <w:rsid w:val="00F709FC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C5C2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6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2016-03-17T10:35:00Z</dcterms:created>
  <dcterms:modified xsi:type="dcterms:W3CDTF">2020-02-13T17:26:00Z</dcterms:modified>
</cp:coreProperties>
</file>