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493"/>
        <w:gridCol w:w="227"/>
        <w:gridCol w:w="2920"/>
      </w:tblGrid>
      <w:tr w:rsidR="00753EAC" w:rsidRPr="00753EAC" w:rsidTr="00753EAC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2311</w:t>
            </w:r>
          </w:p>
        </w:tc>
      </w:tr>
      <w:tr w:rsidR="00753EAC" w:rsidRPr="00753EAC" w:rsidTr="00753EAC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  <w:t>Molekularna genetika starenja i karcinogeneze</w:t>
            </w:r>
          </w:p>
        </w:tc>
      </w:tr>
      <w:tr w:rsidR="00753EAC" w:rsidRPr="00753EAC" w:rsidTr="00753EAC">
        <w:trPr>
          <w:trHeight w:val="311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753EAC" w:rsidRPr="00753EAC" w:rsidTr="00753EAC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753EAC" w:rsidRPr="00753EAC" w:rsidTr="00753EAC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</w:t>
            </w:r>
          </w:p>
        </w:tc>
      </w:tr>
      <w:tr w:rsidR="00753EAC" w:rsidRPr="00753EAC" w:rsidTr="00753EAC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477D22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Izv.prof.d</w:t>
            </w:r>
            <w:r w:rsidR="00753EAC"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</w:t>
            </w:r>
            <w:proofErr w:type="spellEnd"/>
            <w:r w:rsidR="00753EAC"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="00753EAC"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="00753EAC"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Ivica </w:t>
            </w:r>
            <w:proofErr w:type="spellStart"/>
            <w:r w:rsidR="00753EAC"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Rubelj</w:t>
            </w:r>
            <w:proofErr w:type="spellEnd"/>
            <w:r w:rsidR="00E90C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znanstveni savjetnik</w:t>
            </w:r>
          </w:p>
        </w:tc>
      </w:tr>
      <w:tr w:rsidR="00753EAC" w:rsidRPr="00753EAC" w:rsidTr="00753EAC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Bošković, Zavod za molekularnu biologiju</w:t>
            </w:r>
          </w:p>
        </w:tc>
      </w:tr>
      <w:tr w:rsidR="00753EAC" w:rsidRPr="00753EAC" w:rsidTr="00753EAC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3A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53EAC" w:rsidRPr="00753EAC" w:rsidTr="00753EAC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izborni</w:t>
            </w:r>
          </w:p>
        </w:tc>
      </w:tr>
      <w:tr w:rsidR="00753EAC" w:rsidRPr="00753EAC" w:rsidTr="00753EAC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753EAC" w:rsidRPr="00753EAC" w:rsidTr="00753EAC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53EAC" w:rsidRPr="00753EAC" w:rsidTr="00477D22">
        <w:trPr>
          <w:trHeight w:val="1080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Cilj predmeta je pružiti studentima potpuni uvid u najnovija saznanja iz područja molekularnih mehanizama starenja i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karcinogeneze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te njihove uzajamne povezanosti. Predmet obuhvaća početke istraživanja osnovnih mehanizama staničnog starenja, pregled suvremenih ideja i metodoloških pristupa istraživanjima starenja od stanice do organizma, kao i proces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imortalizacije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normalnih stanica.</w:t>
            </w:r>
          </w:p>
        </w:tc>
      </w:tr>
      <w:tr w:rsidR="00753EAC" w:rsidRPr="00753EAC" w:rsidTr="00753EAC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53EAC" w:rsidRPr="00753EAC" w:rsidTr="00753EAC">
        <w:trPr>
          <w:trHeight w:val="2842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Uvod u Molekularnu biologiju starenja.</w:t>
            </w: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Počeci istraživanja osnovnih mehanizama staničnog starenja, pregled suvremenih ideja i metodoloških pristupa istraživanjima starenja od stanice do organizma. </w:t>
            </w:r>
            <w:r w:rsidRPr="00753EA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Stanično starenje.</w:t>
            </w: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Model ljudskih i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mišijih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fibroblasta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endotelijalnih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epitelnih stanica, M1/M2 mehanizam, ulazak u krizu i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imortalizacija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efekt SV40 velikog T antigena (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Tg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), uloga </w:t>
            </w:r>
            <w:r w:rsidRPr="00753EA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p53</w:t>
            </w: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pRb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r w:rsidRPr="00753EA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Molekularne osnove (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pato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)fiziologije staničnog starenja.</w:t>
            </w: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Mehanizmi genetičke kontrole staničnog starenja: uloga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telomera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telomeraze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(građa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telomera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proteini koji su u interakciji sa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telomerama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uloga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telomeraze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rekombinacijskih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mehanizama u kontroli duljine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telomera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normalnim i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imortalnim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stanicama), ALT mehanizam, uloga kontrole staničnog ciklusa u starenju i interakcija istog sa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telomerama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Oksidativni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stres u staničnom starenju: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hiper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/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hipooksija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telomere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oksidativni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stres, uloga mitohondrija u nastanku staničnih oštećenja i staničnom starenju, uloga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antioksidansa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stres-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response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mehanizama u staničnom starenju. </w:t>
            </w:r>
            <w:r w:rsidRPr="00753EA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Molekularne osnove (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pato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)fiziologije starenja tkiva i organa.</w:t>
            </w: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Koža kao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modelni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objekt: starenje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fibroblasta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melanocita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keratinocita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endotelijalnih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stanica, kožnog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matriksa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mikrovaskulature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Starenje inertnih organa i tkiva (živčani sustav,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miokard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 i njihova otpornost na stres. Genetički i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epigenetički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mehanizmi kontrole starenja kod laboratorijskih miševa (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knock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out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eksperimenti,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microarray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analize,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oksidativni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stres i kalorijska dijeta) i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nematode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753EA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C.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elegans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te njihove sličnosti i razlike sa starenjem kod čovjeka. </w:t>
            </w:r>
            <w:r w:rsidRPr="00753EA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Molekularni mehanizmi nekih degenerativnih bolesti povezanih sa starenjem.</w:t>
            </w: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Alzheimer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Wernerov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sindrom,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Hutchinson-Gilfordov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sindrom (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Progeria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). Evolucijske teorije mehanizama starenja i njihova uzajamnost sa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karcinogenezom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</w:tc>
      </w:tr>
      <w:tr w:rsidR="00753EAC" w:rsidRPr="00753EAC" w:rsidTr="00753EAC">
        <w:trPr>
          <w:trHeight w:val="135"/>
        </w:trPr>
        <w:tc>
          <w:tcPr>
            <w:tcW w:w="7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53EAC" w:rsidRPr="00753EAC" w:rsidTr="00477D22">
        <w:trPr>
          <w:trHeight w:val="1125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2" w:rsidRPr="00477D22" w:rsidRDefault="00477D22" w:rsidP="00477D2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polaznici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steći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najnovija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saznanja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iz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područja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molekularne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biologije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starenja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karcinogeneze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poglavito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molekularnih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mehanizama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kontrole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ograničenog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rasta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normalnih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stanica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njihov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prijelaz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imortalnost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;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utjecaj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starih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stanica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okolno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tkivo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starenje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razini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organizma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uključujući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živčani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sustav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; o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mehanizmima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starenja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nekoliko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modelnih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organizama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kroz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koje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se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objasniti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važnost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genetičke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kontrole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starenja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kao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utjecaj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staničnog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oštećenja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starenje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karcinogenezu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populacijska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istraživanja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starenju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karcinogenezi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</w:t>
            </w:r>
          </w:p>
          <w:p w:rsidR="00477D22" w:rsidRPr="00477D22" w:rsidRDefault="00477D22" w:rsidP="00477D2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završetku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kolegija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studenti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moraju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usvojiti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znanja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o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biologiji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starenja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nastanku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tumora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prema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izloženom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sadržaju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moraju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mogućnosti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kritički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razmišljati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povezivati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činjenice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s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razumijevanjem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isto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pokazati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usmenom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ispitu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</w:t>
            </w:r>
          </w:p>
          <w:p w:rsidR="00477D22" w:rsidRPr="00477D22" w:rsidRDefault="00477D22" w:rsidP="00477D2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studenti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moraju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logički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povezati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molekularne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mehanizme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staničnog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starenja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starenjem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razini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organizma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promjene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ovih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mehanizama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koje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dovode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do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imortalnosti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kako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razni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utjecaji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iz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okoliša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također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mogu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promijeniti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dinamiku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ovih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procesa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</w:t>
            </w:r>
          </w:p>
          <w:p w:rsidR="00477D22" w:rsidRPr="00477D22" w:rsidRDefault="00477D22" w:rsidP="00477D2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moraju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povezati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međuodnos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metabolizma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telomera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metabolizma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mitohondrija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slobodnih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radikala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karcinogenezi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starenju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razvoju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raznih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bolesti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povezanih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starenjam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</w:t>
            </w:r>
          </w:p>
          <w:p w:rsidR="00477D22" w:rsidRPr="00477D22" w:rsidRDefault="00477D22" w:rsidP="00477D2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moraju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kombinirati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znanja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iz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različitih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predavanja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moći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povezati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razumijevanju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tranzicije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normalne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stanice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tumorsku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čemu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isti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molekularni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mehanizmi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jednom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slučaju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osiguravaju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ograničen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stanični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rast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a u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imortalizaciji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omogućuju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beskonačne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stanične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diobe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</w:t>
            </w:r>
          </w:p>
          <w:p w:rsidR="00753EAC" w:rsidRPr="00753EAC" w:rsidRDefault="00477D22" w:rsidP="0047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usvajanjem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znanja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o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slobodnim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radikalima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kalorijskoj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dijeti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metabolizmu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telomera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studenti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moći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imati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kritički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odnos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prema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danas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vrlo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raširenoj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primjeni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antioksidansa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raznih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dijeta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kojima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se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pokušava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usporiti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starenje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</w:t>
            </w:r>
          </w:p>
        </w:tc>
      </w:tr>
      <w:tr w:rsidR="00753EAC" w:rsidRPr="00753EAC" w:rsidTr="00753EAC">
        <w:trPr>
          <w:trHeight w:val="13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Satnica, način izvedbe i ECTS koeficijent opterećenja studenta</w:t>
            </w:r>
          </w:p>
        </w:tc>
      </w:tr>
      <w:tr w:rsidR="00753EAC" w:rsidRPr="00753EAC" w:rsidTr="00753EAC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753EAC" w:rsidRPr="00753EAC" w:rsidTr="00753EAC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753EAC" w:rsidRPr="00753EAC" w:rsidTr="00753EAC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53EAC" w:rsidRPr="00753EAC" w:rsidTr="00753EAC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E90C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25</w:t>
            </w:r>
          </w:p>
        </w:tc>
      </w:tr>
      <w:tr w:rsidR="00753EAC" w:rsidRPr="00753EAC" w:rsidTr="00753EAC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753EAC" w:rsidRPr="00753EAC" w:rsidTr="00753EAC">
        <w:trPr>
          <w:trHeight w:val="302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753EAC" w:rsidRPr="00753EAC" w:rsidTr="00753EA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753EAC" w:rsidRPr="00753EAC" w:rsidTr="00753EA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753EAC" w:rsidRPr="00753EAC" w:rsidTr="00477D22">
        <w:trPr>
          <w:trHeight w:val="364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753EAC" w:rsidRPr="00753EAC" w:rsidTr="00477D22">
        <w:trPr>
          <w:trHeight w:val="426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Prisustvovanje predavanjima i vježbama.</w:t>
            </w:r>
          </w:p>
        </w:tc>
      </w:tr>
      <w:tr w:rsidR="00753EAC" w:rsidRPr="00753EAC" w:rsidTr="00753EAC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753EAC" w:rsidRPr="00753EAC" w:rsidTr="00753EAC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Vježba</w:t>
            </w: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ili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753EAC" w:rsidRPr="00753EAC" w:rsidTr="00753EAC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Način ocjenjivanja: </w:t>
            </w:r>
          </w:p>
        </w:tc>
      </w:tr>
      <w:tr w:rsidR="00753EAC" w:rsidRPr="00753EAC" w:rsidTr="00753EA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753EAC" w:rsidRPr="00753EAC" w:rsidTr="00753EA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753EAC" w:rsidRPr="00753EAC" w:rsidTr="00753EAC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53EAC" w:rsidRPr="00753EAC" w:rsidTr="00753EAC">
        <w:trPr>
          <w:trHeight w:val="97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2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1. </w:t>
            </w:r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Handbook of the Biology of Aging. Third edition. Editors: Schneider, E. L. and Rowe, J. W., Academic Press, Inc. San Diego, California, 1990. </w:t>
            </w:r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br/>
            </w:r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br/>
              <w:t xml:space="preserve">Kim, S., Jiang, J. C., </w:t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Kirchman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P. A., </w:t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Rubelj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I., Helm, E. G. and </w:t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Jazwinski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S. M.: Cellular and molecular aging. in Comprehensive Geriatric Oncology, second edition, (L. </w:t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Balducci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W. B. </w:t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Ershler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G. H. Lyman, eds.) Harwood Academic Publishers, Amsterdam, 1998. pp. 123-155. </w:t>
            </w:r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br/>
            </w:r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br/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Dimri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G. P., Lee, X., </w:t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Basile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G., Acosta, M., Scott, G., </w:t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Roskelley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C., Medrano, E. E., </w:t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Linskens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M., </w:t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Rubelj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I., Pereira-Smith, O. M., </w:t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Peacocke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M. and </w:t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Campisi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J.: A biomarker that identifies senescent human cells in culture and in aging skin in vivo, Proc. Natl. Acad. Sci. USA, 1995; 92: 9363-9367. </w:t>
            </w:r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br/>
            </w:r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br/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Blasco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M. A. mouse models to study the role of telomeres in cancer, aging and </w:t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dna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repair [Review]. European Journal of Cancer. 38(17): 2222-2228, 2002 Nov. </w:t>
            </w:r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br/>
            </w:r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br/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Rubelj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I., </w:t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Brdar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B. and Pereira-Smith, O. M.: Replicative senescence in vitro and in vivo, Croatian Med. J. 1997; 38: 190-198. </w:t>
            </w:r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br/>
            </w:r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br/>
            </w:r>
            <w:proofErr w:type="spellStart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Rubelj</w:t>
            </w:r>
            <w:proofErr w:type="spellEnd"/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I. and Pereira-Smith, O. M.: sv40-transformed human cells in crisis exhibit changes that occur in normal cellular senescence. Exp. Cell Res. 1994; 211: 82-89. </w:t>
            </w:r>
            <w:r w:rsidR="00477D22"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br/>
            </w:r>
          </w:p>
          <w:p w:rsidR="00753EAC" w:rsidRDefault="00477D22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Rubelj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I. and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Vondraček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Z.: Stochastic mechanism of cellular aging – abrupt telomere shortening as a model for stochastic nature of cellular aging, J.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theor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. Biol. 1999; 197: 425-438. 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br/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br/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Rubelj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I.,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Huzak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M.,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Brdar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B. and Pereira-Smith, O. M.: A single-stage mechanism controls replicative senescence through sudden senescence syndrome,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Biogerontology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2002; 3 (4): 213-222.</w:t>
            </w:r>
          </w:p>
          <w:p w:rsidR="00477D22" w:rsidRPr="00753EAC" w:rsidRDefault="00477D22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53EAC" w:rsidRPr="00753EAC" w:rsidTr="00753EAC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53EAC" w:rsidRPr="00753EAC" w:rsidTr="00753EAC">
        <w:trPr>
          <w:trHeight w:val="558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Allsopp RC,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Vaziri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H, Patterson C, Goldstein S,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Younglai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EV,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Futcher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AB,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Greider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CW, Harley CB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1992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Telomere length predicts replicative capacity of human fibroblasts.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Proceedings of the National Academy of Sciences of the United States of America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89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10114–10118.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Allsopp RC, Harley CB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1995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Evidence for a critical telomere length in senescent human fibroblasts.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Experimental cell research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219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130–136.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lastRenderedPageBreak/>
              <w:t>Bisoffi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M,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Heaphy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CM, Griffith JK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2006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Telomeres: prognostic markers for solid tumors.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International journal of cancer. Journal international du cancer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119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2255–2260.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Blackburn EH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1991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Structure and function of telomeres.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Nature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350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569–573.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Colavitti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R,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Finkel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T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2005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Reactive oxygen species as mediators of cellular senescence.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IUBMB life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57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277–281.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Counter CM,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Avilion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AA,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LeFeuvre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CE, Stewart NG,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Greider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CW, Harley CB,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Bacchetti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S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1992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Telomere shortening associated with chromosome instability is arrested in immortal cells which express telomerase activity.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The EMBO journal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11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1921–1929.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Ducray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C,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Pommier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JP, Martins L,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Boussin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FD, Sabatier L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1999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Telomere dynamics, end-to-end fusions and telomerase activation during the human fibroblast immortalization process.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Oncogene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18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4211–4223.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Finkel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T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2011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Signal transduction by reactive oxygen species.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The Journal of cell biology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194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7–15.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Fordyce CA,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Heaphy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CM,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Bisoffi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M,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Wyaco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JL,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Joste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NE,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Mangalik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A, Baumgartner KB, Baumgartner RN, Hunt WC, Griffith JK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2006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Telomere content correlates with stage and prognosis in breast cancer.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Breast cancer research and treatment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99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193–202.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Harley CB,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Futcher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AB,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Greider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CW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1990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Telomeres shorten during ageing of human fibroblasts.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Nature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345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458–460.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Kirkinezos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IG,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Moraes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CT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2001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Reactive oxygen species and mitochondrial diseases.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Seminars in Cell &amp; Developmental Biology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12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449–457.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Lindsey J, McGill NI, Lindsey LA, Green DK, Cooke HJ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1991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In vivo loss of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telomeric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repeats with age in humans.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Mutation research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256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45–48.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Ornish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D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2008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The Spectrum: A Scientifically Proven Program to Feel Better, Live Longer, Lose Weight, and Gain Health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 Ballantine Books.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Ornish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D, Lin J,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Daubenmier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J, Weidner G,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Epel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E, Kemp C,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Magbanua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MJM, Marlin R,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Yglecias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L, Carroll PR, </w:t>
            </w:r>
            <w:r w:rsidRPr="00477D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hr-HR"/>
              </w:rPr>
              <w:t>et al.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2008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Increased telomerase activity and comprehensive lifestyle changes: a pilot study.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The lancet oncology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9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1048–1057.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Ornish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D, Lin J, Chan JM,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Epel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E, Kemp C, Weidner G, Marlin R,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Frenda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SJ,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Magbanua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MJM,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Daubenmier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J, </w:t>
            </w:r>
            <w:r w:rsidRPr="00477D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hr-HR"/>
              </w:rPr>
              <w:t>et al.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2013a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Effect of comprehensive lifestyle changes on telomerase activity and telomere length in men with biopsy-proven low-risk prostate cancer: 5-year follow-up of a descriptive pilot study.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The Lancet Oncology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14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1112–1120.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Passos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JF,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Saretzki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G, Ahmed S, Nelson G, Richter T, Peters H,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Wappler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I,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Birket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MJ, Harold G,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Schaeuble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K, </w:t>
            </w:r>
            <w:r w:rsidRPr="00477D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hr-HR"/>
              </w:rPr>
              <w:t>et al.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2007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Mitochondrial Dysfunction Accounts for the Stochastic Heterogeneity in Telomere-Dependent Senescence.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PLoS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Biol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5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e110.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Passos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JF, Von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Zglinicki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T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2006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Oxygen free radicals in cell senescence: are they signal transducers?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Free radical research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40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1277–1283.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Plentz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RR,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Schlegelberger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B,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Flemming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P, Gebel M,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Kreipe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H,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Manns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MP, Rudolph KL, Wilkens L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2005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Telomere shortening correlates with increasing aneuploidy of chromosome 8 in human hepatocellular carcinoma.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Hepatology (Baltimore, Md.)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42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522–526.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Shay JW, Wright WE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2011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Role of telomeres and telomerase in cancer.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Seminars in cancer biology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21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349–353.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Valko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M, Rhodes CJ,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Moncol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J,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Izakovic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M, Mazur M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2006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Free radicals, metals and antioxidants in oxidative stress-induced cancer.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Chemico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-biological interactions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160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1–40.</w:t>
            </w:r>
          </w:p>
          <w:p w:rsidR="00477D22" w:rsidRPr="00477D22" w:rsidRDefault="00477D22" w:rsidP="0047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Weng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NP, Palmer LD, Levine BL, Lane HC, June CH,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Hodes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RJ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1997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Tales of tails: regulation of telomere length and telomerase activity during lymphocyte development, differentiation, activation, and aging.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Immunological reviews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160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43–54.</w:t>
            </w:r>
          </w:p>
          <w:p w:rsidR="00753EAC" w:rsidRPr="00753EAC" w:rsidRDefault="00477D22" w:rsidP="0047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Von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Zglinicki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T,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Pilger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R, </w:t>
            </w:r>
            <w:proofErr w:type="spellStart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Sitte</w:t>
            </w:r>
            <w:proofErr w:type="spellEnd"/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N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7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2000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Accumulation of single-strand breaks is the major cause of telomere shortening in human fibroblasts. </w:t>
            </w:r>
            <w:r w:rsidRPr="00477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Free Radical Biology and Medicine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7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28</w:t>
            </w:r>
            <w:r w:rsidRPr="00477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64–74.</w:t>
            </w:r>
          </w:p>
        </w:tc>
      </w:tr>
      <w:tr w:rsidR="00753EAC" w:rsidRPr="00753EAC" w:rsidTr="00753EAC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Način praćenja kvalitete i uspješnosti izvedbe (evaluacija):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53EAC" w:rsidRPr="00753EAC" w:rsidTr="00753EAC">
        <w:trPr>
          <w:trHeight w:val="1500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C" w:rsidRPr="00753EAC" w:rsidRDefault="00753EAC" w:rsidP="007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Rasprave sa studentima i kolegama, praćenje napredovanja svakoga studenta, evaluacija uspješnosti od strane voditeljstva studija i zajedničkog stručnog povjerenstva nositelja </w:t>
            </w:r>
            <w:proofErr w:type="spellStart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studija.Uspješnost</w:t>
            </w:r>
            <w:proofErr w:type="spellEnd"/>
            <w:r w:rsidRPr="00753EA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kolegija će evaluirati svake godine zajedničko stručno povjerenstvo Instituta Ruđer Bošković, Sveučilišta u Dubrovniku i Sveučilišta u Osijeku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1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2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5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9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8"/>
  </w:num>
  <w:num w:numId="5">
    <w:abstractNumId w:val="20"/>
  </w:num>
  <w:num w:numId="6">
    <w:abstractNumId w:val="29"/>
  </w:num>
  <w:num w:numId="7">
    <w:abstractNumId w:val="33"/>
  </w:num>
  <w:num w:numId="8">
    <w:abstractNumId w:val="7"/>
  </w:num>
  <w:num w:numId="9">
    <w:abstractNumId w:val="15"/>
  </w:num>
  <w:num w:numId="10">
    <w:abstractNumId w:val="23"/>
  </w:num>
  <w:num w:numId="11">
    <w:abstractNumId w:val="12"/>
  </w:num>
  <w:num w:numId="12">
    <w:abstractNumId w:val="30"/>
  </w:num>
  <w:num w:numId="13">
    <w:abstractNumId w:val="21"/>
  </w:num>
  <w:num w:numId="14">
    <w:abstractNumId w:val="31"/>
  </w:num>
  <w:num w:numId="15">
    <w:abstractNumId w:val="35"/>
  </w:num>
  <w:num w:numId="16">
    <w:abstractNumId w:val="8"/>
  </w:num>
  <w:num w:numId="17">
    <w:abstractNumId w:val="26"/>
  </w:num>
  <w:num w:numId="18">
    <w:abstractNumId w:val="18"/>
  </w:num>
  <w:num w:numId="19">
    <w:abstractNumId w:val="13"/>
  </w:num>
  <w:num w:numId="20">
    <w:abstractNumId w:val="34"/>
  </w:num>
  <w:num w:numId="21">
    <w:abstractNumId w:val="2"/>
  </w:num>
  <w:num w:numId="22">
    <w:abstractNumId w:val="17"/>
  </w:num>
  <w:num w:numId="23">
    <w:abstractNumId w:val="5"/>
  </w:num>
  <w:num w:numId="24">
    <w:abstractNumId w:val="16"/>
  </w:num>
  <w:num w:numId="25">
    <w:abstractNumId w:val="25"/>
  </w:num>
  <w:num w:numId="26">
    <w:abstractNumId w:val="1"/>
  </w:num>
  <w:num w:numId="27">
    <w:abstractNumId w:val="11"/>
  </w:num>
  <w:num w:numId="28">
    <w:abstractNumId w:val="6"/>
  </w:num>
  <w:num w:numId="29">
    <w:abstractNumId w:val="3"/>
  </w:num>
  <w:num w:numId="30">
    <w:abstractNumId w:val="27"/>
  </w:num>
  <w:num w:numId="31">
    <w:abstractNumId w:val="0"/>
  </w:num>
  <w:num w:numId="32">
    <w:abstractNumId w:val="24"/>
  </w:num>
  <w:num w:numId="33">
    <w:abstractNumId w:val="19"/>
  </w:num>
  <w:num w:numId="34">
    <w:abstractNumId w:val="4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159E"/>
    <w:rsid w:val="002861C3"/>
    <w:rsid w:val="002976D7"/>
    <w:rsid w:val="0035634B"/>
    <w:rsid w:val="003A53F2"/>
    <w:rsid w:val="003A6434"/>
    <w:rsid w:val="003C4AC4"/>
    <w:rsid w:val="003E07E8"/>
    <w:rsid w:val="00413846"/>
    <w:rsid w:val="0041451E"/>
    <w:rsid w:val="00477D22"/>
    <w:rsid w:val="0050240B"/>
    <w:rsid w:val="005634A0"/>
    <w:rsid w:val="006368BB"/>
    <w:rsid w:val="00650F9D"/>
    <w:rsid w:val="00753EAC"/>
    <w:rsid w:val="007D3A46"/>
    <w:rsid w:val="0085274E"/>
    <w:rsid w:val="00863D6D"/>
    <w:rsid w:val="0090157B"/>
    <w:rsid w:val="00913A4E"/>
    <w:rsid w:val="00937D17"/>
    <w:rsid w:val="009C06CE"/>
    <w:rsid w:val="009D251F"/>
    <w:rsid w:val="009F20F4"/>
    <w:rsid w:val="00A97795"/>
    <w:rsid w:val="00AA4A7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E90CB7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8B44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7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2016-03-17T10:21:00Z</dcterms:created>
  <dcterms:modified xsi:type="dcterms:W3CDTF">2020-02-13T13:37:00Z</dcterms:modified>
</cp:coreProperties>
</file>