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709"/>
        <w:gridCol w:w="2722"/>
      </w:tblGrid>
      <w:tr w:rsidR="0085274E" w:rsidRPr="0085274E" w:rsidTr="0085274E">
        <w:tc>
          <w:tcPr>
            <w:tcW w:w="224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85274E" w:rsidRPr="0085274E" w:rsidRDefault="0085274E" w:rsidP="008527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2119</w:t>
            </w:r>
          </w:p>
        </w:tc>
      </w:tr>
      <w:tr w:rsidR="0085274E" w:rsidRPr="0085274E" w:rsidTr="0085274E">
        <w:tc>
          <w:tcPr>
            <w:tcW w:w="224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85274E" w:rsidRPr="0085274E" w:rsidRDefault="0085274E" w:rsidP="008527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NAPREDNI PRISTUP UZGOJU KULTURA U</w:t>
            </w:r>
          </w:p>
          <w:p w:rsidR="0085274E" w:rsidRPr="0085274E" w:rsidRDefault="0085274E" w:rsidP="008527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MEDITERANSKOM KLIMATU</w:t>
            </w:r>
          </w:p>
        </w:tc>
      </w:tr>
      <w:tr w:rsidR="0085274E" w:rsidRPr="0085274E" w:rsidTr="0085274E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85274E" w:rsidRPr="0085274E" w:rsidTr="0085274E">
        <w:tc>
          <w:tcPr>
            <w:tcW w:w="2606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85274E" w:rsidRPr="0085274E" w:rsidTr="0085274E">
        <w:tc>
          <w:tcPr>
            <w:tcW w:w="2606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>Znanost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 xml:space="preserve"> o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>materijalima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>i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>nove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hr-HR"/>
              </w:rPr>
              <w:t>tehnologije</w:t>
            </w:r>
            <w:proofErr w:type="spellEnd"/>
          </w:p>
        </w:tc>
      </w:tr>
      <w:tr w:rsidR="0085274E" w:rsidRPr="0085274E" w:rsidTr="0085274E">
        <w:tc>
          <w:tcPr>
            <w:tcW w:w="2606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Doc. dr.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Slavko Perica,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znanstveni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savjetnik-trajno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zvanje</w:t>
            </w:r>
            <w:proofErr w:type="spellEnd"/>
          </w:p>
        </w:tc>
      </w:tr>
      <w:tr w:rsidR="0085274E" w:rsidRPr="0085274E" w:rsidTr="0085274E">
        <w:tc>
          <w:tcPr>
            <w:tcW w:w="3708" w:type="dxa"/>
            <w:gridSpan w:val="7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za jadranske kulture i melioraciju krša</w:t>
            </w:r>
          </w:p>
        </w:tc>
      </w:tr>
      <w:tr w:rsidR="0085274E" w:rsidRPr="0085274E" w:rsidTr="0085274E">
        <w:tc>
          <w:tcPr>
            <w:tcW w:w="3708" w:type="dxa"/>
            <w:gridSpan w:val="7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1B1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oc.d</w:t>
            </w: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Katja Žanić, znanstvena savjetnica</w:t>
            </w:r>
          </w:p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 dr.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Gvozden Dumičić, viši znanstveni suradnik</w:t>
            </w:r>
          </w:p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1B1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oc.d</w:t>
            </w: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Gabriela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Veletin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Selak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znanstvena suradnica</w:t>
            </w:r>
          </w:p>
        </w:tc>
      </w:tr>
      <w:tr w:rsidR="0085274E" w:rsidRPr="0085274E" w:rsidTr="0085274E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85274E" w:rsidRPr="0085274E" w:rsidRDefault="0085274E" w:rsidP="008527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□  obvezni                   </w:t>
            </w: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X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izborni</w:t>
            </w:r>
          </w:p>
        </w:tc>
      </w:tr>
      <w:tr w:rsidR="0085274E" w:rsidRPr="0085274E" w:rsidTr="0085274E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85274E" w:rsidRPr="0085274E" w:rsidTr="0085274E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5274E" w:rsidRPr="0085274E" w:rsidTr="0085274E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 predmeta je razumijevanje funkcioniranja hortikulturnih ekosustava u mediteranskom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klimatu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kao osnove za njihovo planiranje i održivi razvoj. Studenti će steći spoznaje primjenjive u širokom rasponu sustava uzgoja, od intenzivnih (zaštićeni prostor;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superintenzivni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nasadi) do ekstenzivnih.</w:t>
            </w:r>
          </w:p>
        </w:tc>
      </w:tr>
      <w:tr w:rsidR="0085274E" w:rsidRPr="0085274E" w:rsidTr="0085274E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5274E" w:rsidRPr="0085274E" w:rsidTr="0085274E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Sustavi uzgoja hortikulturnih biljaka u mediteranskom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klimatu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godišnji ciklusi rasta i razvoja; suvremene tehnologije uzgoja.</w:t>
            </w:r>
          </w:p>
          <w:p w:rsidR="0085274E" w:rsidRPr="0085274E" w:rsidRDefault="0085274E" w:rsidP="008527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  <w:t>Mehanizmi koji biljkama omogućuju rast i razmnožavanje u različitim okolišnim uvjetima, ključni procesi: cvjetanje, oprašivanje i razvoj ploda; mikroskopske tehnike u istraživanju reproduktivnih značajki.</w:t>
            </w:r>
          </w:p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Dijagnostika i rješavanje</w:t>
            </w:r>
            <w:r w:rsidRPr="008527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hranidbenih i zdravstvenih poremećaja izazvanih abiotičkim ili  biotičkim čimbenicima; genotipske specifičnosti. </w:t>
            </w:r>
          </w:p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Seminarski radovi s elementima znanstveno-istraživačkog rada i njihova prezentacija;  pažljivo sagledavanje i razumijevanje literaturnih podataka. </w:t>
            </w:r>
          </w:p>
        </w:tc>
      </w:tr>
      <w:tr w:rsidR="0085274E" w:rsidRPr="0085274E" w:rsidTr="0085274E">
        <w:trPr>
          <w:trHeight w:val="135"/>
        </w:trPr>
        <w:tc>
          <w:tcPr>
            <w:tcW w:w="7196" w:type="dxa"/>
            <w:gridSpan w:val="18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bottom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5274E" w:rsidRPr="0085274E" w:rsidTr="0085274E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85274E" w:rsidRPr="0085274E" w:rsidRDefault="0085274E" w:rsidP="00852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će:</w:t>
            </w:r>
          </w:p>
          <w:p w:rsidR="0085274E" w:rsidRPr="0085274E" w:rsidRDefault="0085274E" w:rsidP="008527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osposobljenosti bolje razumjeti kako okolišni čimbenici utječu na rast i razvoj biljke u mediteranskom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klimatu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85274E" w:rsidRPr="0085274E" w:rsidRDefault="0085274E" w:rsidP="008527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potrebne za donošenje odluka vezano za sustav uzgoja,  kondiciju i zdravstveno stanje biljke; </w:t>
            </w:r>
          </w:p>
          <w:p w:rsidR="0085274E" w:rsidRPr="0085274E" w:rsidRDefault="0085274E" w:rsidP="008527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 povezivati stečeno znanje s mogućim problemima i situacijama u radnom okruženju;</w:t>
            </w:r>
          </w:p>
          <w:p w:rsidR="0085274E" w:rsidRPr="0085274E" w:rsidRDefault="0085274E" w:rsidP="008527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 odabrati relevantne literaturne izvore, kao i </w:t>
            </w:r>
            <w:r w:rsidRPr="00852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8527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852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8527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 znanstvene podatke. </w:t>
            </w:r>
          </w:p>
        </w:tc>
      </w:tr>
      <w:tr w:rsidR="0085274E" w:rsidRPr="0085274E" w:rsidTr="0085274E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85274E" w:rsidRPr="0085274E" w:rsidTr="0085274E">
        <w:tc>
          <w:tcPr>
            <w:tcW w:w="4045" w:type="dxa"/>
            <w:gridSpan w:val="9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</w:t>
            </w:r>
          </w:p>
        </w:tc>
      </w:tr>
      <w:tr w:rsidR="0085274E" w:rsidRPr="0085274E" w:rsidTr="0085274E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85274E" w:rsidRPr="0085274E" w:rsidTr="0085274E">
        <w:trPr>
          <w:cantSplit/>
        </w:trPr>
        <w:tc>
          <w:tcPr>
            <w:tcW w:w="2426" w:type="dxa"/>
            <w:gridSpan w:val="4"/>
            <w:vMerge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85274E" w:rsidRPr="0085274E" w:rsidTr="0085274E">
        <w:trPr>
          <w:cantSplit/>
        </w:trPr>
        <w:tc>
          <w:tcPr>
            <w:tcW w:w="2426" w:type="dxa"/>
            <w:gridSpan w:val="4"/>
            <w:vMerge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  <w:r w:rsidR="00291B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10</w:t>
            </w:r>
          </w:p>
        </w:tc>
      </w:tr>
      <w:tr w:rsidR="0085274E" w:rsidRPr="0085274E" w:rsidTr="0085274E">
        <w:trPr>
          <w:cantSplit/>
        </w:trPr>
        <w:tc>
          <w:tcPr>
            <w:tcW w:w="2426" w:type="dxa"/>
            <w:gridSpan w:val="4"/>
            <w:vMerge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85274E" w:rsidRPr="0085274E" w:rsidTr="0085274E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85274E" w:rsidRPr="0085274E" w:rsidTr="0085274E">
        <w:tc>
          <w:tcPr>
            <w:tcW w:w="1546" w:type="dxa"/>
            <w:shd w:val="clear" w:color="auto" w:fill="FFFFFF"/>
          </w:tcPr>
          <w:p w:rsidR="0085274E" w:rsidRPr="0085274E" w:rsidRDefault="0085274E" w:rsidP="008527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85274E" w:rsidRPr="0085274E" w:rsidRDefault="0085274E" w:rsidP="008527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85274E" w:rsidRPr="0085274E" w:rsidTr="0085274E">
        <w:tc>
          <w:tcPr>
            <w:tcW w:w="1546" w:type="dxa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317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22" w:type="dxa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85274E" w:rsidRPr="0085274E" w:rsidTr="0085274E">
        <w:trPr>
          <w:trHeight w:val="454"/>
        </w:trPr>
        <w:tc>
          <w:tcPr>
            <w:tcW w:w="10627" w:type="dxa"/>
            <w:gridSpan w:val="20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85274E" w:rsidRPr="0085274E" w:rsidTr="0085274E">
        <w:trPr>
          <w:trHeight w:val="397"/>
        </w:trPr>
        <w:tc>
          <w:tcPr>
            <w:tcW w:w="10627" w:type="dxa"/>
            <w:gridSpan w:val="20"/>
          </w:tcPr>
          <w:p w:rsidR="0085274E" w:rsidRPr="0085274E" w:rsidRDefault="0085274E" w:rsidP="0085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 ili konzultacije, vježbe (praktikum i terenska nastava) te seminarski rad.</w:t>
            </w:r>
          </w:p>
        </w:tc>
      </w:tr>
      <w:tr w:rsidR="0085274E" w:rsidRPr="0085274E" w:rsidTr="0085274E">
        <w:tc>
          <w:tcPr>
            <w:tcW w:w="10627" w:type="dxa"/>
            <w:gridSpan w:val="20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85274E" w:rsidRPr="0085274E" w:rsidTr="0085274E">
        <w:tc>
          <w:tcPr>
            <w:tcW w:w="2426" w:type="dxa"/>
            <w:gridSpan w:val="4"/>
            <w:shd w:val="clear" w:color="auto" w:fill="FFFFFF"/>
          </w:tcPr>
          <w:p w:rsidR="0085274E" w:rsidRPr="0085274E" w:rsidRDefault="0085274E" w:rsidP="008527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85274E" w:rsidRPr="0085274E" w:rsidTr="0085274E">
        <w:tc>
          <w:tcPr>
            <w:tcW w:w="10627" w:type="dxa"/>
            <w:gridSpan w:val="20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85274E" w:rsidRPr="0085274E" w:rsidTr="0085274E">
        <w:tc>
          <w:tcPr>
            <w:tcW w:w="1728" w:type="dxa"/>
            <w:gridSpan w:val="2"/>
            <w:shd w:val="clear" w:color="auto" w:fill="FFFFFF"/>
          </w:tcPr>
          <w:p w:rsidR="0085274E" w:rsidRPr="0085274E" w:rsidRDefault="0085274E" w:rsidP="008527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85274E" w:rsidRPr="0085274E" w:rsidTr="0085274E">
        <w:tc>
          <w:tcPr>
            <w:tcW w:w="1728" w:type="dxa"/>
            <w:gridSpan w:val="2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85274E" w:rsidRPr="0085274E" w:rsidTr="0085274E">
        <w:tc>
          <w:tcPr>
            <w:tcW w:w="2426" w:type="dxa"/>
            <w:gridSpan w:val="4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5274E" w:rsidRPr="0085274E" w:rsidTr="0085274E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85274E" w:rsidRPr="0085274E" w:rsidRDefault="0085274E" w:rsidP="0085274E">
            <w:pPr>
              <w:numPr>
                <w:ilvl w:val="0"/>
                <w:numId w:val="17"/>
              </w:numPr>
              <w:tabs>
                <w:tab w:val="num" w:pos="360"/>
                <w:tab w:val="center" w:pos="4153"/>
                <w:tab w:val="right" w:pos="830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Marschner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H. (1986) Mineral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Nutrition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Higher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Plants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Academic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Press, London. </w:t>
            </w:r>
          </w:p>
          <w:p w:rsidR="0085274E" w:rsidRPr="0085274E" w:rsidRDefault="0085274E" w:rsidP="0085274E">
            <w:pPr>
              <w:numPr>
                <w:ilvl w:val="0"/>
                <w:numId w:val="17"/>
              </w:numPr>
              <w:tabs>
                <w:tab w:val="num" w:pos="360"/>
                <w:tab w:val="center" w:pos="4153"/>
                <w:tab w:val="right" w:pos="830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Öpik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H.,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Rolfe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S. (2005)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physiology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flowering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plants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Cambridge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Cambridge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University Press.</w:t>
            </w:r>
          </w:p>
          <w:p w:rsidR="0085274E" w:rsidRPr="0085274E" w:rsidRDefault="0085274E" w:rsidP="0085274E">
            <w:pPr>
              <w:numPr>
                <w:ilvl w:val="0"/>
                <w:numId w:val="17"/>
              </w:numPr>
              <w:tabs>
                <w:tab w:val="num" w:pos="360"/>
                <w:tab w:val="center" w:pos="4153"/>
                <w:tab w:val="right" w:pos="830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Paul V. Nelson (2011)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Greenhouse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Operation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Management. 7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  <w:t>th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Prentice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Hall.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Englewood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Cliffs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NJ.</w:t>
            </w:r>
          </w:p>
          <w:p w:rsidR="0085274E" w:rsidRPr="0085274E" w:rsidRDefault="0085274E" w:rsidP="0085274E">
            <w:pPr>
              <w:numPr>
                <w:ilvl w:val="0"/>
                <w:numId w:val="17"/>
              </w:numPr>
              <w:tabs>
                <w:tab w:val="num" w:pos="360"/>
                <w:tab w:val="center" w:pos="4153"/>
                <w:tab w:val="right" w:pos="830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Maslina i maslinovo ulje A-Ž, (Zadro, B. i Perica, S.,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.), Naklada Zadro, Zagreb, (2007), ISBN 978-953-182-075-2.</w:t>
            </w:r>
          </w:p>
          <w:p w:rsidR="0085274E" w:rsidRPr="0085274E" w:rsidRDefault="0085274E" w:rsidP="0085274E">
            <w:pPr>
              <w:numPr>
                <w:ilvl w:val="0"/>
                <w:numId w:val="17"/>
              </w:numPr>
              <w:tabs>
                <w:tab w:val="num" w:pos="360"/>
                <w:tab w:val="center" w:pos="4153"/>
                <w:tab w:val="right" w:pos="830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Civantos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Lopez-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Villalta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M. (1999)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pest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disease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management. International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Oil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Council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Madrid. </w:t>
            </w:r>
          </w:p>
          <w:p w:rsidR="0085274E" w:rsidRPr="0085274E" w:rsidRDefault="0085274E" w:rsidP="0085274E">
            <w:pPr>
              <w:numPr>
                <w:ilvl w:val="0"/>
                <w:numId w:val="17"/>
              </w:numPr>
              <w:tabs>
                <w:tab w:val="num" w:pos="360"/>
                <w:tab w:val="center" w:pos="4153"/>
                <w:tab w:val="right" w:pos="830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Pimentel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D. (2007)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Encyclopedia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pest management.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Volume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II. CRC Press, Taylor &amp; Francis Group, Boca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Raton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New York, USA.</w:t>
            </w:r>
          </w:p>
        </w:tc>
      </w:tr>
      <w:tr w:rsidR="0085274E" w:rsidRPr="0085274E" w:rsidTr="0085274E">
        <w:tc>
          <w:tcPr>
            <w:tcW w:w="4248" w:type="dxa"/>
            <w:gridSpan w:val="10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5274E" w:rsidRPr="0085274E" w:rsidTr="0085274E">
        <w:trPr>
          <w:trHeight w:val="1361"/>
        </w:trPr>
        <w:tc>
          <w:tcPr>
            <w:tcW w:w="10627" w:type="dxa"/>
            <w:gridSpan w:val="20"/>
            <w:tcBorders>
              <w:top w:val="nil"/>
            </w:tcBorders>
          </w:tcPr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Perica, S. (2001)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Seasonal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fluctuation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intracanopy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variation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leaf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nitrogen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level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Journal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Plant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Nutrition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24(4&amp;5):779-787.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Perica, S., Brown, H.P.,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Connell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H.,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Nyomora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Agnes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M.S.,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Dordas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C.,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H. (2001)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Foliar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boron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application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improves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flower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fertility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fruit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set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HortScience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36(4):714-716.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Strikić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F.,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Bandelj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Mavsar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D., Perica, S.,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Čmelik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Z.,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Šatović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Z.,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Javornik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B. (2009)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Croatian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cultivar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"Oblica",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shows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high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morphological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but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low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diversity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Journal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Horticultural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Science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Biotechnology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84(3):345-349.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Vuletin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Selak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G.,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Cuevas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J., Goreta Ban, S., Perica, S. (2014)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Pollen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tube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performance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assessment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compatibility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Olea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europaea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L.)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cultivars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Scientia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Horticulturae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165:36-43. 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Vuletin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Selak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G.,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Cuevas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J., Goreta Ban, S.,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Pinillos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V., Dumičić, G., Perica, S. (2014)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effect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temperature on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duration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effective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pollination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period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‘Oblica’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olive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Olea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europaea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L.)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cultivar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Annals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Applied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Biology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164(1):85-94. 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Žanić, K., Ban, D.,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Gotlin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Čuljak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T., Goreta Ban, S., Dumičić, G., Haramija, J.,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Znidarčič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D. (2013)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Aphid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populations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Hemiptera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Aphidoidea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depend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mulching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watermelon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production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Mediterranean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part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Croatia.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Spanish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Journal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Agricultural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Research 11(4):1120-1128.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Žanić, K., Dumičić, G.,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Škaljac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M., Goreta Ban, S.,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Urlić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B. (2011)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effects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nitrogen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rate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ratio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NO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hr-HR"/>
              </w:rPr>
              <w:t>3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  <w:t>-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:NH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  <w:lang w:eastAsia="hr-HR"/>
              </w:rPr>
              <w:t>4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  <w:t>+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Bemisia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tabaci</w:t>
            </w: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populations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hydroponic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tomato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crops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Crop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Protection 30:228-233.</w:t>
            </w:r>
          </w:p>
          <w:p w:rsidR="0085274E" w:rsidRPr="0085274E" w:rsidRDefault="0085274E" w:rsidP="0085274E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Žanić, K., Goreta, S., Perica, S.,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Šutić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J. (2008)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Effects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alternative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pesticides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greenhouse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whitefly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protected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cultivation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Journal </w:t>
            </w:r>
            <w:proofErr w:type="spellStart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Pest Science 81:161-166.</w:t>
            </w:r>
          </w:p>
        </w:tc>
      </w:tr>
      <w:tr w:rsidR="0085274E" w:rsidRPr="0085274E" w:rsidTr="0085274E">
        <w:tc>
          <w:tcPr>
            <w:tcW w:w="7128" w:type="dxa"/>
            <w:gridSpan w:val="17"/>
            <w:shd w:val="clear" w:color="auto" w:fill="FFFFFF"/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85274E" w:rsidRPr="0085274E" w:rsidTr="0085274E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85274E" w:rsidRPr="0085274E" w:rsidRDefault="0085274E" w:rsidP="008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8527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6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B10FD"/>
    <w:rsid w:val="001E108B"/>
    <w:rsid w:val="002213EB"/>
    <w:rsid w:val="002548A0"/>
    <w:rsid w:val="00291B9D"/>
    <w:rsid w:val="002976D7"/>
    <w:rsid w:val="0035634B"/>
    <w:rsid w:val="003A6434"/>
    <w:rsid w:val="00413846"/>
    <w:rsid w:val="005634A0"/>
    <w:rsid w:val="00650F9D"/>
    <w:rsid w:val="007D3A46"/>
    <w:rsid w:val="0085274E"/>
    <w:rsid w:val="0090157B"/>
    <w:rsid w:val="00913A4E"/>
    <w:rsid w:val="00937D17"/>
    <w:rsid w:val="00A97795"/>
    <w:rsid w:val="00AA4A72"/>
    <w:rsid w:val="00B94D94"/>
    <w:rsid w:val="00CA4CEF"/>
    <w:rsid w:val="00CC3425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0C72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2016-03-17T10:11:00Z</dcterms:created>
  <dcterms:modified xsi:type="dcterms:W3CDTF">2020-02-13T10:26:00Z</dcterms:modified>
</cp:coreProperties>
</file>