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493"/>
        <w:gridCol w:w="227"/>
        <w:gridCol w:w="2637"/>
      </w:tblGrid>
      <w:tr w:rsidR="00702C45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Šifra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1115</w:t>
            </w:r>
          </w:p>
        </w:tc>
      </w:tr>
      <w:tr w:rsidR="00702C45" w:rsidRPr="00507522" w:rsidTr="008204F1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Naziv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 xml:space="preserve">OSNOVNE </w:t>
            </w:r>
            <w:r w:rsidRPr="00507522">
              <w:rPr>
                <w:color w:val="000000"/>
              </w:rPr>
              <w:t>METODE U MOLEKULARNOJ BIOLOGIJI I MEDICINI</w:t>
            </w:r>
          </w:p>
        </w:tc>
      </w:tr>
      <w:tr w:rsidR="00702C45" w:rsidRPr="00507522" w:rsidTr="008204F1">
        <w:trPr>
          <w:trHeight w:val="311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OPĆI PODACI:</w:t>
            </w:r>
          </w:p>
        </w:tc>
      </w:tr>
      <w:tr w:rsidR="00702C45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Studijski program: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Molekularne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bioznanosti</w:t>
            </w:r>
            <w:proofErr w:type="spellEnd"/>
          </w:p>
        </w:tc>
      </w:tr>
      <w:tr w:rsidR="00702C45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Modul</w:t>
            </w:r>
            <w:r w:rsidRPr="00507522">
              <w:rPr>
                <w:b/>
                <w:color w:val="000000"/>
                <w:sz w:val="24"/>
                <w:lang w:val="hr-HR"/>
              </w:rPr>
              <w:t>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izborni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kolegij</w:t>
            </w:r>
            <w:proofErr w:type="spellEnd"/>
            <w:r w:rsidRPr="004C30EE">
              <w:rPr>
                <w:sz w:val="24"/>
                <w:szCs w:val="24"/>
              </w:rPr>
              <w:t xml:space="preserve"> (</w:t>
            </w:r>
            <w:proofErr w:type="spellStart"/>
            <w:r w:rsidRPr="004C30EE">
              <w:rPr>
                <w:sz w:val="24"/>
                <w:szCs w:val="24"/>
              </w:rPr>
              <w:t>met</w:t>
            </w:r>
            <w:r>
              <w:rPr>
                <w:sz w:val="24"/>
                <w:szCs w:val="24"/>
              </w:rPr>
              <w:t>odološki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702C45" w:rsidRPr="00507522" w:rsidTr="008204F1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Nositelj predmeta:</w:t>
            </w:r>
          </w:p>
        </w:tc>
        <w:tc>
          <w:tcPr>
            <w:tcW w:w="78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F" w:rsidRDefault="0072212B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Izv.prof</w:t>
            </w:r>
            <w:r w:rsidR="00B143DF">
              <w:rPr>
                <w:color w:val="000000"/>
                <w:sz w:val="24"/>
                <w:lang w:val="hr-HR"/>
              </w:rPr>
              <w:t>.</w:t>
            </w:r>
            <w:r w:rsidR="00702C45">
              <w:rPr>
                <w:color w:val="000000"/>
                <w:sz w:val="24"/>
                <w:lang w:val="hr-HR"/>
              </w:rPr>
              <w:t xml:space="preserve">dr.sc. </w:t>
            </w:r>
            <w:r w:rsidR="00702C45" w:rsidRPr="00507522">
              <w:rPr>
                <w:color w:val="000000"/>
                <w:sz w:val="24"/>
                <w:lang w:val="hr-HR"/>
              </w:rPr>
              <w:t xml:space="preserve">Andreja </w:t>
            </w:r>
            <w:proofErr w:type="spellStart"/>
            <w:r w:rsidR="00702C45" w:rsidRPr="00507522">
              <w:rPr>
                <w:color w:val="000000"/>
                <w:sz w:val="24"/>
                <w:lang w:val="hr-HR"/>
              </w:rPr>
              <w:t>Ambriović</w:t>
            </w:r>
            <w:proofErr w:type="spellEnd"/>
            <w:r w:rsidR="00702C45"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="00702C45" w:rsidRPr="00507522">
              <w:rPr>
                <w:color w:val="000000"/>
                <w:sz w:val="24"/>
                <w:lang w:val="hr-HR"/>
              </w:rPr>
              <w:t>Ristov</w:t>
            </w:r>
            <w:proofErr w:type="spellEnd"/>
            <w:r w:rsidR="00702C45" w:rsidRPr="00507522">
              <w:rPr>
                <w:color w:val="000000"/>
                <w:sz w:val="24"/>
                <w:lang w:val="hr-HR"/>
              </w:rPr>
              <w:t xml:space="preserve">, </w:t>
            </w:r>
            <w:r w:rsidR="00B143DF">
              <w:rPr>
                <w:color w:val="000000"/>
                <w:sz w:val="24"/>
                <w:lang w:val="hr-HR"/>
              </w:rPr>
              <w:t>znanstvena savjetnica</w:t>
            </w:r>
          </w:p>
          <w:p w:rsidR="00702C45" w:rsidRPr="00507522" w:rsidRDefault="005E07E6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D</w:t>
            </w:r>
            <w:r w:rsidR="00702C45">
              <w:rPr>
                <w:color w:val="000000"/>
                <w:sz w:val="24"/>
                <w:lang w:val="hr-HR"/>
              </w:rPr>
              <w:t xml:space="preserve">r.sc. </w:t>
            </w:r>
            <w:r w:rsidR="00702C45" w:rsidRPr="00507522">
              <w:rPr>
                <w:color w:val="000000"/>
                <w:sz w:val="24"/>
                <w:lang w:val="hr-HR"/>
              </w:rPr>
              <w:t>Neda Slade</w:t>
            </w:r>
            <w:r w:rsidR="0072212B">
              <w:rPr>
                <w:color w:val="000000"/>
                <w:sz w:val="24"/>
                <w:lang w:val="hr-HR"/>
              </w:rPr>
              <w:t>, znanstvena savjetnica</w:t>
            </w:r>
          </w:p>
        </w:tc>
      </w:tr>
      <w:tr w:rsidR="00702C45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Ustanova nositelja predmeta: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Institut Ruđer Bošković</w:t>
            </w:r>
          </w:p>
        </w:tc>
      </w:tr>
      <w:tr w:rsidR="00702C45" w:rsidRPr="00507522" w:rsidTr="008204F1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Suradnici – izvoditelji:</w:t>
            </w:r>
          </w:p>
        </w:tc>
        <w:tc>
          <w:tcPr>
            <w:tcW w:w="6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7E" w:rsidRDefault="00DB7A7E" w:rsidP="008204F1">
            <w:pPr>
              <w:rPr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D</w:t>
            </w:r>
            <w:r w:rsidR="005E07E6">
              <w:rPr>
                <w:color w:val="000000"/>
                <w:sz w:val="24"/>
                <w:lang w:val="hr-HR"/>
              </w:rPr>
              <w:t xml:space="preserve">r.sc. </w:t>
            </w:r>
            <w:r w:rsidR="006C7731">
              <w:rPr>
                <w:color w:val="000000"/>
                <w:sz w:val="24"/>
                <w:lang w:val="hr-HR"/>
              </w:rPr>
              <w:t xml:space="preserve">Dragomira </w:t>
            </w:r>
            <w:proofErr w:type="spellStart"/>
            <w:r w:rsidR="006C7731" w:rsidRPr="00AB13EC">
              <w:rPr>
                <w:sz w:val="24"/>
                <w:lang w:val="hr-HR"/>
              </w:rPr>
              <w:t>Majhen</w:t>
            </w:r>
            <w:proofErr w:type="spellEnd"/>
            <w:r w:rsidR="006C7731" w:rsidRPr="00AB13EC">
              <w:rPr>
                <w:sz w:val="24"/>
                <w:lang w:val="hr-HR"/>
              </w:rPr>
              <w:t xml:space="preserve">, </w:t>
            </w:r>
            <w:r>
              <w:rPr>
                <w:sz w:val="24"/>
                <w:lang w:val="hr-HR"/>
              </w:rPr>
              <w:t xml:space="preserve">viša </w:t>
            </w:r>
            <w:proofErr w:type="spellStart"/>
            <w:r>
              <w:rPr>
                <w:sz w:val="24"/>
                <w:lang w:val="hr-HR"/>
              </w:rPr>
              <w:t>zanstvena</w:t>
            </w:r>
            <w:proofErr w:type="spellEnd"/>
            <w:r>
              <w:rPr>
                <w:sz w:val="24"/>
                <w:lang w:val="hr-HR"/>
              </w:rPr>
              <w:t xml:space="preserve"> suradnica</w:t>
            </w:r>
          </w:p>
          <w:p w:rsidR="00702C45" w:rsidRPr="00507522" w:rsidRDefault="00DB7A7E" w:rsidP="00DB7A7E">
            <w:pPr>
              <w:rPr>
                <w:color w:val="000000"/>
                <w:sz w:val="24"/>
                <w:lang w:val="hr-HR"/>
              </w:rPr>
            </w:pPr>
            <w:proofErr w:type="spellStart"/>
            <w:r>
              <w:rPr>
                <w:sz w:val="24"/>
                <w:lang w:val="hr-HR"/>
              </w:rPr>
              <w:t>D</w:t>
            </w:r>
            <w:r w:rsidR="005E07E6">
              <w:rPr>
                <w:sz w:val="24"/>
                <w:lang w:val="hr-HR"/>
              </w:rPr>
              <w:t>r.sc.</w:t>
            </w:r>
            <w:r w:rsidR="006C7731" w:rsidRPr="00AB13EC">
              <w:rPr>
                <w:sz w:val="24"/>
                <w:lang w:val="hr-HR"/>
              </w:rPr>
              <w:t>Anđela</w:t>
            </w:r>
            <w:proofErr w:type="spellEnd"/>
            <w:r w:rsidR="006C7731" w:rsidRPr="00AB13EC">
              <w:rPr>
                <w:sz w:val="24"/>
                <w:lang w:val="hr-HR"/>
              </w:rPr>
              <w:t xml:space="preserve"> Horvat</w:t>
            </w:r>
            <w:r w:rsidR="006C7731">
              <w:rPr>
                <w:sz w:val="24"/>
                <w:lang w:val="hr-HR"/>
              </w:rPr>
              <w:t xml:space="preserve">, </w:t>
            </w:r>
            <w:r>
              <w:rPr>
                <w:sz w:val="24"/>
                <w:lang w:val="hr-HR"/>
              </w:rPr>
              <w:t>znanstvena suradnica</w:t>
            </w:r>
          </w:p>
        </w:tc>
      </w:tr>
      <w:tr w:rsidR="00702C45" w:rsidRPr="00507522" w:rsidTr="008204F1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Status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ind w:left="360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□  obvezni                   X izborni</w:t>
            </w:r>
          </w:p>
        </w:tc>
      </w:tr>
      <w:tr w:rsidR="00702C45" w:rsidRPr="00507522" w:rsidTr="008204F1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Godina i semestar u kojem se predmet predaje: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ind w:left="360"/>
              <w:jc w:val="both"/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I</w:t>
            </w:r>
            <w:r w:rsidRPr="00507522">
              <w:rPr>
                <w:color w:val="000000"/>
                <w:sz w:val="24"/>
                <w:lang w:val="hr-HR"/>
              </w:rPr>
              <w:t xml:space="preserve">. godina </w:t>
            </w:r>
            <w:r>
              <w:rPr>
                <w:color w:val="000000"/>
                <w:sz w:val="24"/>
                <w:lang w:val="hr-HR"/>
              </w:rPr>
              <w:t>, I</w:t>
            </w:r>
            <w:r w:rsidRPr="00507522">
              <w:rPr>
                <w:color w:val="000000"/>
                <w:sz w:val="24"/>
                <w:lang w:val="hr-HR"/>
              </w:rPr>
              <w:t>. semestar</w:t>
            </w:r>
          </w:p>
        </w:tc>
      </w:tr>
      <w:tr w:rsidR="00702C45" w:rsidRPr="00507522" w:rsidTr="008204F1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Cilj predmeta:</w:t>
            </w:r>
          </w:p>
        </w:tc>
        <w:tc>
          <w:tcPr>
            <w:tcW w:w="823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2C45" w:rsidRPr="00507522" w:rsidTr="00D856D0">
        <w:trPr>
          <w:trHeight w:val="504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Stjecanje teoretskog i praktičnog znanja o osnovnim metodama rada u biologiji i medicini. Kvalitetno znanstveno obrazovanje mora omogućiti teoretsko i praktično poznavanje metoda rada.</w:t>
            </w:r>
            <w:r>
              <w:rPr>
                <w:color w:val="000000"/>
                <w:sz w:val="24"/>
                <w:lang w:val="hr-HR"/>
              </w:rPr>
              <w:t xml:space="preserve"> </w:t>
            </w:r>
          </w:p>
        </w:tc>
      </w:tr>
      <w:tr w:rsidR="00702C45" w:rsidRPr="00507522" w:rsidTr="008204F1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Sadržaj predmeta: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2C45" w:rsidRPr="00507522" w:rsidTr="00D856D0">
        <w:trPr>
          <w:trHeight w:val="5438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6C7731" w:rsidRDefault="00702C45" w:rsidP="008204F1">
            <w:pPr>
              <w:rPr>
                <w:rStyle w:val="Strong"/>
                <w:b w:val="0"/>
                <w:sz w:val="24"/>
                <w:szCs w:val="24"/>
                <w:lang w:val="hr-HR"/>
              </w:rPr>
            </w:pPr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Predmet je skup predavanja i vježbi kojima su obuhvaćene najvažnije metode u eksperimentalnom radu u biologiji i medicini. </w:t>
            </w:r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Većina metoda uključuje i vježbe koje se izvode u laboratoriju. Svaki predavač u okviru predmeta počinje sa teoretskim uvodom, kako bi studenti mogli dalje pratiti praktični rad. </w:t>
            </w:r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Predviđa se kontinuirano obogaćivanje sadržaja predmeta modernim metodama. </w:t>
            </w:r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Na seminarima se zajednički obrađuju članci samih predavača s ciljem da se objasni zašto se i za koju svrhu određena metoda upotrebljava. </w:t>
            </w:r>
          </w:p>
          <w:p w:rsidR="00702C45" w:rsidRPr="006C7731" w:rsidRDefault="00702C45" w:rsidP="008204F1">
            <w:pPr>
              <w:rPr>
                <w:rStyle w:val="Strong"/>
                <w:b w:val="0"/>
                <w:sz w:val="24"/>
                <w:szCs w:val="24"/>
                <w:lang w:val="hr-HR"/>
              </w:rPr>
            </w:pPr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Predmet uključuje praktičan rad, međutim neke metode zbog dužine trajanja i/ili cijene, obrađuju se samo pokazno. </w:t>
            </w:r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Predviđa se kontinuirano obogaćivanje sadržaja predmeta modernim metodama. </w:t>
            </w:r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Na seminarima se zajednički obrađuju članci samih predavača s ciljem da se objasni zašto se i za koju svrhu određena metoda upotrebljava. </w:t>
            </w:r>
          </w:p>
          <w:p w:rsidR="00702C45" w:rsidRPr="00507522" w:rsidRDefault="00702C45" w:rsidP="00D856D0">
            <w:pPr>
              <w:rPr>
                <w:color w:val="000000"/>
                <w:sz w:val="24"/>
                <w:lang w:val="hr-HR"/>
              </w:rPr>
            </w:pPr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Predmet obuhvaća sljedeće metode: izolacija DNA i RNA, </w:t>
            </w:r>
            <w:proofErr w:type="spellStart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>elektroforeza</w:t>
            </w:r>
            <w:proofErr w:type="spellEnd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 u </w:t>
            </w:r>
            <w:proofErr w:type="spellStart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>agaroznom</w:t>
            </w:r>
            <w:proofErr w:type="spellEnd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 gelu, lančana reakcija </w:t>
            </w:r>
            <w:proofErr w:type="spellStart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>polimerazom</w:t>
            </w:r>
            <w:proofErr w:type="spellEnd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 (PCR), reverzna transkripcija (RT), natrij </w:t>
            </w:r>
            <w:proofErr w:type="spellStart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>dodecil</w:t>
            </w:r>
            <w:proofErr w:type="spellEnd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 sulfat </w:t>
            </w:r>
            <w:proofErr w:type="spellStart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>elektroforeza</w:t>
            </w:r>
            <w:proofErr w:type="spellEnd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 (SDS-PAGE), Western </w:t>
            </w:r>
            <w:proofErr w:type="spellStart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>blot</w:t>
            </w:r>
            <w:proofErr w:type="spellEnd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, </w:t>
            </w:r>
            <w:r w:rsidRPr="006C7731">
              <w:rPr>
                <w:color w:val="000000"/>
                <w:sz w:val="24"/>
                <w:szCs w:val="24"/>
                <w:lang w:val="hr-HR"/>
              </w:rPr>
              <w:t>analiza produkata reakcije PCR cijepanjem uz pomoć restrikcijskih enzima (</w:t>
            </w:r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RFLP), </w:t>
            </w:r>
            <w:proofErr w:type="spellStart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>imunocitokemija</w:t>
            </w:r>
            <w:proofErr w:type="spellEnd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, kulture stanica, </w:t>
            </w:r>
            <w:proofErr w:type="spellStart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>transfekcija</w:t>
            </w:r>
            <w:proofErr w:type="spellEnd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, određivanje </w:t>
            </w:r>
            <w:proofErr w:type="spellStart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>apoptoze</w:t>
            </w:r>
            <w:proofErr w:type="spellEnd"/>
            <w:r w:rsidRPr="006C7731">
              <w:rPr>
                <w:rStyle w:val="Strong"/>
                <w:b w:val="0"/>
                <w:sz w:val="24"/>
                <w:szCs w:val="24"/>
                <w:lang w:val="hr-HR"/>
              </w:rPr>
              <w:t xml:space="preserve"> (fluorescencijom, izolacijom DNA fragmenata)</w:t>
            </w:r>
            <w:r w:rsidRPr="006C7731">
              <w:rPr>
                <w:color w:val="000000"/>
                <w:sz w:val="24"/>
                <w:szCs w:val="24"/>
                <w:lang w:val="hr-HR"/>
              </w:rPr>
              <w:t xml:space="preserve">, </w:t>
            </w:r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 kloniranje u </w:t>
            </w:r>
            <w:proofErr w:type="spellStart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>plazmidni</w:t>
            </w:r>
            <w:proofErr w:type="spellEnd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 vektor, Southern i </w:t>
            </w:r>
            <w:proofErr w:type="spellStart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>dot</w:t>
            </w:r>
            <w:proofErr w:type="spellEnd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 </w:t>
            </w:r>
            <w:proofErr w:type="spellStart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>blot</w:t>
            </w:r>
            <w:proofErr w:type="spellEnd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 hibridizacija, </w:t>
            </w:r>
            <w:proofErr w:type="spellStart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>real</w:t>
            </w:r>
            <w:proofErr w:type="spellEnd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 time PCR, određivanje primarnog slijeda </w:t>
            </w:r>
            <w:proofErr w:type="spellStart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>nukleotida-sekvenciranje</w:t>
            </w:r>
            <w:proofErr w:type="spellEnd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, </w:t>
            </w:r>
            <w:proofErr w:type="spellStart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>heteroduplex</w:t>
            </w:r>
            <w:proofErr w:type="spellEnd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 analiza, analiza gubitka </w:t>
            </w:r>
            <w:proofErr w:type="spellStart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>heterozigotičnosti</w:t>
            </w:r>
            <w:proofErr w:type="spellEnd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, analiza </w:t>
            </w:r>
            <w:proofErr w:type="spellStart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>jednolančanih</w:t>
            </w:r>
            <w:proofErr w:type="spellEnd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 oblika DNA, biblioteke gena, </w:t>
            </w:r>
            <w:proofErr w:type="spellStart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>konfokalna</w:t>
            </w:r>
            <w:proofErr w:type="spellEnd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 laserska </w:t>
            </w:r>
            <w:proofErr w:type="spellStart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>pretražna</w:t>
            </w:r>
            <w:proofErr w:type="spellEnd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 mikroskopija, elektronska mikroskopija, </w:t>
            </w:r>
            <w:proofErr w:type="spellStart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>Ames</w:t>
            </w:r>
            <w:proofErr w:type="spellEnd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 test, gel </w:t>
            </w:r>
            <w:proofErr w:type="spellStart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>elektroforeza</w:t>
            </w:r>
            <w:proofErr w:type="spellEnd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 u promjenjivom električnom polju (PFGE), biokemijske metode pročišćavanja proteina, DNA </w:t>
            </w:r>
            <w:proofErr w:type="spellStart"/>
            <w:r w:rsidRPr="006C7731">
              <w:rPr>
                <w:rStyle w:val="Hyperlink"/>
                <w:i/>
                <w:color w:val="000000"/>
                <w:sz w:val="24"/>
                <w:szCs w:val="24"/>
                <w:u w:val="none"/>
                <w:lang w:val="hr-HR"/>
              </w:rPr>
              <w:t>microarray</w:t>
            </w:r>
            <w:proofErr w:type="spellEnd"/>
            <w:r w:rsidRPr="006C7731">
              <w:rPr>
                <w:rStyle w:val="Hyperlink"/>
                <w:color w:val="000000"/>
                <w:sz w:val="24"/>
                <w:szCs w:val="24"/>
                <w:u w:val="none"/>
                <w:lang w:val="hr-HR"/>
              </w:rPr>
              <w:t xml:space="preserve">. </w:t>
            </w:r>
          </w:p>
        </w:tc>
      </w:tr>
      <w:tr w:rsidR="00702C45" w:rsidRPr="00507522" w:rsidTr="008204F1">
        <w:trPr>
          <w:trHeight w:val="135"/>
        </w:trPr>
        <w:tc>
          <w:tcPr>
            <w:tcW w:w="7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>
              <w:rPr>
                <w:b/>
                <w:color w:val="000000"/>
                <w:sz w:val="24"/>
                <w:lang w:val="hr-HR"/>
              </w:rPr>
              <w:t>Ishodi učenja: k</w:t>
            </w:r>
            <w:r w:rsidRPr="00507522">
              <w:rPr>
                <w:b/>
                <w:color w:val="000000"/>
                <w:sz w:val="24"/>
                <w:lang w:val="hr-HR"/>
              </w:rPr>
              <w:t>ompetencije, znanje, vještine koje predmet razvija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2C45" w:rsidRPr="00507522" w:rsidTr="008204F1">
        <w:trPr>
          <w:trHeight w:val="1190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1" w:rsidRPr="003C0E2B" w:rsidRDefault="006C7731" w:rsidP="006C7731">
            <w:pPr>
              <w:pStyle w:val="BodyText"/>
            </w:pPr>
            <w:r w:rsidRPr="003C0E2B">
              <w:t>Nakon odslušanog kolegija student će:</w:t>
            </w:r>
          </w:p>
          <w:p w:rsidR="006C7731" w:rsidRPr="00507522" w:rsidRDefault="006C7731" w:rsidP="006C7731">
            <w:pPr>
              <w:pStyle w:val="BodyText"/>
            </w:pPr>
            <w:r w:rsidRPr="00507522">
              <w:t xml:space="preserve">- </w:t>
            </w:r>
            <w:proofErr w:type="spellStart"/>
            <w:r w:rsidRPr="00507522">
              <w:t>razumijeti</w:t>
            </w:r>
            <w:proofErr w:type="spellEnd"/>
            <w:r w:rsidRPr="00507522">
              <w:t xml:space="preserve"> </w:t>
            </w:r>
            <w:r>
              <w:t xml:space="preserve">principe osnovnih metoda molekularne biologije: </w:t>
            </w:r>
            <w:r w:rsidRPr="00374818">
              <w:t>iz</w:t>
            </w:r>
            <w:r>
              <w:t>dvajanje</w:t>
            </w:r>
            <w:r w:rsidRPr="00374818">
              <w:t xml:space="preserve"> DNA i RNA, </w:t>
            </w:r>
            <w:proofErr w:type="spellStart"/>
            <w:r w:rsidRPr="00374818">
              <w:t>elektroforeza</w:t>
            </w:r>
            <w:proofErr w:type="spellEnd"/>
            <w:r w:rsidRPr="00374818">
              <w:t xml:space="preserve"> u </w:t>
            </w:r>
            <w:proofErr w:type="spellStart"/>
            <w:r w:rsidRPr="00374818">
              <w:t>agaroznom</w:t>
            </w:r>
            <w:proofErr w:type="spellEnd"/>
            <w:r w:rsidRPr="00374818">
              <w:t xml:space="preserve"> gelu, </w:t>
            </w:r>
            <w:proofErr w:type="spellStart"/>
            <w:r w:rsidRPr="00374818">
              <w:t>elektroforeza</w:t>
            </w:r>
            <w:proofErr w:type="spellEnd"/>
            <w:r w:rsidRPr="00374818">
              <w:t xml:space="preserve"> </w:t>
            </w:r>
            <w:r>
              <w:t xml:space="preserve">DNA </w:t>
            </w:r>
            <w:r w:rsidRPr="00374818">
              <w:t>u promjenjivom električnom polju (PFGE)</w:t>
            </w:r>
            <w:r>
              <w:t xml:space="preserve">, </w:t>
            </w:r>
            <w:r w:rsidRPr="00374818">
              <w:t xml:space="preserve">lančana reakcija </w:t>
            </w:r>
            <w:proofErr w:type="spellStart"/>
            <w:r w:rsidRPr="00374818">
              <w:t>polimerazom</w:t>
            </w:r>
            <w:proofErr w:type="spellEnd"/>
            <w:r w:rsidRPr="00374818">
              <w:t xml:space="preserve"> (PCR), </w:t>
            </w:r>
            <w:proofErr w:type="spellStart"/>
            <w:r>
              <w:t>real</w:t>
            </w:r>
            <w:proofErr w:type="spellEnd"/>
            <w:r>
              <w:t>-t</w:t>
            </w:r>
            <w:r w:rsidRPr="00374818">
              <w:t>ime PCR</w:t>
            </w:r>
            <w:r>
              <w:t xml:space="preserve"> (</w:t>
            </w:r>
            <w:proofErr w:type="spellStart"/>
            <w:r>
              <w:t>qPCR</w:t>
            </w:r>
            <w:proofErr w:type="spellEnd"/>
            <w:r>
              <w:t>)</w:t>
            </w:r>
            <w:r w:rsidRPr="00374818">
              <w:t xml:space="preserve">, reverzna transkripcija (RT), </w:t>
            </w:r>
            <w:proofErr w:type="spellStart"/>
            <w:r>
              <w:t>denaturirajuća</w:t>
            </w:r>
            <w:proofErr w:type="spellEnd"/>
            <w:r>
              <w:t xml:space="preserve"> diskontinuirana </w:t>
            </w:r>
            <w:proofErr w:type="spellStart"/>
            <w:r>
              <w:t>elektroforeza</w:t>
            </w:r>
            <w:proofErr w:type="spellEnd"/>
            <w:r>
              <w:t xml:space="preserve"> u </w:t>
            </w:r>
            <w:proofErr w:type="spellStart"/>
            <w:r>
              <w:t>poliakrilamidnom</w:t>
            </w:r>
            <w:proofErr w:type="spellEnd"/>
            <w:r>
              <w:t xml:space="preserve"> gelu (SDS-PAGE),</w:t>
            </w:r>
            <w:r w:rsidRPr="00374818">
              <w:t xml:space="preserve"> Western </w:t>
            </w:r>
            <w:proofErr w:type="spellStart"/>
            <w:r w:rsidRPr="00374818">
              <w:t>blot</w:t>
            </w:r>
            <w:proofErr w:type="spellEnd"/>
            <w:r w:rsidRPr="00374818">
              <w:t xml:space="preserve">, </w:t>
            </w:r>
            <w:r>
              <w:t xml:space="preserve">Southern </w:t>
            </w:r>
            <w:proofErr w:type="spellStart"/>
            <w:r>
              <w:t>blot</w:t>
            </w:r>
            <w:proofErr w:type="spellEnd"/>
            <w:r>
              <w:t xml:space="preserve">, </w:t>
            </w:r>
            <w:r w:rsidRPr="00374818">
              <w:t xml:space="preserve">određivanje primarnog slijeda </w:t>
            </w:r>
            <w:proofErr w:type="spellStart"/>
            <w:r w:rsidRPr="00374818">
              <w:t>nukleotida-sekvenciranje</w:t>
            </w:r>
            <w:proofErr w:type="spellEnd"/>
            <w:r w:rsidRPr="00374818">
              <w:t xml:space="preserve">, </w:t>
            </w:r>
            <w:proofErr w:type="spellStart"/>
            <w:r>
              <w:t>sekvenciranje</w:t>
            </w:r>
            <w:proofErr w:type="spellEnd"/>
            <w:r>
              <w:t xml:space="preserve"> nove generacije, kloniranje u </w:t>
            </w:r>
            <w:proofErr w:type="spellStart"/>
            <w:r>
              <w:t>plazmidni</w:t>
            </w:r>
            <w:proofErr w:type="spellEnd"/>
            <w:r>
              <w:t xml:space="preserve"> vektor, </w:t>
            </w:r>
            <w:r w:rsidRPr="00135714">
              <w:t>CRISPR/Cas9</w:t>
            </w:r>
            <w:r>
              <w:t xml:space="preserve"> metoda,</w:t>
            </w:r>
            <w:r w:rsidRPr="00135714">
              <w:t xml:space="preserve"> </w:t>
            </w:r>
            <w:r>
              <w:t xml:space="preserve">primarne i trajne </w:t>
            </w:r>
            <w:r w:rsidRPr="00374818">
              <w:t>kulture stanica,</w:t>
            </w:r>
            <w:r>
              <w:t xml:space="preserve"> stabilna i prolazna</w:t>
            </w:r>
            <w:r w:rsidRPr="00374818">
              <w:t xml:space="preserve"> </w:t>
            </w:r>
            <w:proofErr w:type="spellStart"/>
            <w:r w:rsidRPr="00374818">
              <w:t>transfekcija</w:t>
            </w:r>
            <w:proofErr w:type="spellEnd"/>
            <w:r w:rsidRPr="00374818">
              <w:t>,</w:t>
            </w:r>
            <w:r>
              <w:t xml:space="preserve"> utišavanje gena, </w:t>
            </w:r>
            <w:proofErr w:type="spellStart"/>
            <w:r w:rsidRPr="00374818">
              <w:t>imunocitokemija</w:t>
            </w:r>
            <w:proofErr w:type="spellEnd"/>
            <w:r w:rsidRPr="00374818">
              <w:t xml:space="preserve">, </w:t>
            </w:r>
            <w:proofErr w:type="spellStart"/>
            <w:r>
              <w:t>imunofluorescencija</w:t>
            </w:r>
            <w:proofErr w:type="spellEnd"/>
            <w:r>
              <w:t xml:space="preserve">, metode dokazivanja </w:t>
            </w:r>
            <w:proofErr w:type="spellStart"/>
            <w:r>
              <w:t>apoptoze</w:t>
            </w:r>
            <w:proofErr w:type="spellEnd"/>
            <w:r w:rsidRPr="00374818">
              <w:t>,</w:t>
            </w:r>
            <w:r>
              <w:t xml:space="preserve"> </w:t>
            </w:r>
            <w:proofErr w:type="spellStart"/>
            <w:r>
              <w:t>imuno</w:t>
            </w:r>
            <w:r w:rsidRPr="00296168">
              <w:t>precipitacija</w:t>
            </w:r>
            <w:proofErr w:type="spellEnd"/>
            <w:r w:rsidRPr="00296168">
              <w:t>, spektrometrija masa</w:t>
            </w:r>
            <w:r>
              <w:t xml:space="preserve">. </w:t>
            </w:r>
          </w:p>
          <w:p w:rsidR="006C7731" w:rsidRDefault="006C7731" w:rsidP="006C7731">
            <w:pPr>
              <w:pStyle w:val="BodyText"/>
            </w:pPr>
            <w:r>
              <w:t xml:space="preserve">- biti sposoban </w:t>
            </w:r>
            <w:r w:rsidRPr="00507522">
              <w:t xml:space="preserve">razumjeti </w:t>
            </w:r>
            <w:r>
              <w:t>materijale i metode u člancima iz područja molekularne biologije i objasniti zašto je pojedina metoda korištena</w:t>
            </w:r>
          </w:p>
          <w:p w:rsidR="00702C45" w:rsidRPr="00507522" w:rsidRDefault="006C7731" w:rsidP="006C773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sz w:val="24"/>
                <w:lang w:val="hr-HR"/>
              </w:rPr>
              <w:t xml:space="preserve">- biti sposoban </w:t>
            </w:r>
            <w:r>
              <w:rPr>
                <w:sz w:val="24"/>
                <w:lang w:val="hr-HR"/>
              </w:rPr>
              <w:t>napisati poglavlje Materijali i metode u znanstvenom članku i doktorskoj disertaciji</w:t>
            </w:r>
          </w:p>
        </w:tc>
      </w:tr>
      <w:tr w:rsidR="00702C45" w:rsidRPr="00507522" w:rsidTr="008204F1">
        <w:trPr>
          <w:trHeight w:val="13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Satnica, način izvedbe i ECTS koeficijent opterećenja studenta</w:t>
            </w:r>
          </w:p>
        </w:tc>
      </w:tr>
      <w:tr w:rsidR="00702C45" w:rsidRPr="00507522" w:rsidTr="008204F1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ECTS bodovi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 xml:space="preserve">  8</w:t>
            </w:r>
          </w:p>
        </w:tc>
      </w:tr>
      <w:tr w:rsidR="00702C45" w:rsidRPr="00507522" w:rsidTr="008204F1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Predavanja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15</w:t>
            </w:r>
          </w:p>
        </w:tc>
      </w:tr>
      <w:tr w:rsidR="00702C45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 xml:space="preserve">  5</w:t>
            </w:r>
          </w:p>
        </w:tc>
      </w:tr>
      <w:tr w:rsidR="00702C45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Vježbe</w:t>
            </w:r>
            <w:r w:rsidR="00DB7A7E">
              <w:rPr>
                <w:color w:val="000000"/>
                <w:sz w:val="24"/>
                <w:lang w:val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20</w:t>
            </w:r>
          </w:p>
        </w:tc>
      </w:tr>
      <w:tr w:rsidR="00702C45" w:rsidRPr="00507522" w:rsidTr="008204F1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Ukupno</w:t>
            </w:r>
          </w:p>
        </w:tc>
        <w:tc>
          <w:tcPr>
            <w:tcW w:w="6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CF2560" w:rsidRDefault="00702C45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40</w:t>
            </w:r>
          </w:p>
        </w:tc>
      </w:tr>
      <w:tr w:rsidR="00702C45" w:rsidRPr="00507522" w:rsidTr="008204F1">
        <w:trPr>
          <w:trHeight w:val="302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2C45" w:rsidRPr="00507522" w:rsidRDefault="00702C45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lastRenderedPageBreak/>
              <w:t>NAČIN IZVOĐENJA NASTAVE I USVAJANJA ZNANJA</w:t>
            </w:r>
          </w:p>
        </w:tc>
      </w:tr>
      <w:tr w:rsidR="00702C45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092FE2" w:rsidRDefault="00702C45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092FE2">
              <w:rPr>
                <w:b/>
                <w:color w:val="000000"/>
                <w:sz w:val="24"/>
                <w:u w:val="single"/>
                <w:lang w:val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Radionice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Samostalni zadaci</w:t>
            </w:r>
          </w:p>
        </w:tc>
      </w:tr>
      <w:tr w:rsidR="00702C45" w:rsidRPr="00507522" w:rsidTr="008204F1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b/>
                <w:color w:val="000000"/>
                <w:sz w:val="24"/>
                <w:u w:val="single"/>
                <w:lang w:val="hr-HR"/>
              </w:rPr>
            </w:pPr>
            <w:r w:rsidRPr="00507522">
              <w:rPr>
                <w:b/>
                <w:color w:val="000000"/>
                <w:sz w:val="24"/>
                <w:u w:val="single"/>
                <w:lang w:val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Mentorski rad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Terenska nastava</w:t>
            </w:r>
          </w:p>
        </w:tc>
      </w:tr>
      <w:tr w:rsidR="00702C45" w:rsidRPr="00507522" w:rsidTr="008204F1">
        <w:trPr>
          <w:trHeight w:val="869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Napomene: </w:t>
            </w:r>
            <w:r w:rsidRPr="00507522">
              <w:rPr>
                <w:color w:val="000000"/>
                <w:sz w:val="24"/>
                <w:lang w:val="hr-HR"/>
              </w:rPr>
              <w:t xml:space="preserve">U početku će se vježbe izvoditi u laboratorijima predavača, ali s vremenom se nadamo da će Institut Ruđer Bošković osigurati jedan manji laboratorij namijenjen upravo toj svrsi. Ovaj predmet temelji se na trogodišnjem iskustvu obrazovnog projekta "METODOLOŠKI TEČAJEVI U BIOLOGIJI I MEDICINI" koji se organiziraju u sklopu Instituta Ruđer Bošković </w:t>
            </w:r>
            <w:hyperlink r:id="rId5" w:history="1">
              <w:r w:rsidRPr="00507522">
                <w:rPr>
                  <w:rStyle w:val="Hyperlink"/>
                  <w:color w:val="000000"/>
                  <w:lang w:val="hr-HR"/>
                </w:rPr>
                <w:t>www.metode.avalon.hr</w:t>
              </w:r>
            </w:hyperlink>
          </w:p>
        </w:tc>
      </w:tr>
      <w:tr w:rsidR="00702C45" w:rsidRPr="00507522" w:rsidTr="008204F1">
        <w:trPr>
          <w:trHeight w:val="695"/>
        </w:trPr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Obveze studenata: </w:t>
            </w:r>
          </w:p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color w:val="000000"/>
                <w:sz w:val="24"/>
                <w:lang w:val="hr-HR"/>
              </w:rPr>
              <w:t>Redovito pohađanje predavanja i a</w:t>
            </w:r>
            <w:r w:rsidRPr="00507522">
              <w:rPr>
                <w:color w:val="000000"/>
                <w:sz w:val="24"/>
                <w:lang w:val="hr-HR"/>
              </w:rPr>
              <w:t>ktivno sudjelovanje na seminarima i vježbama.</w:t>
            </w:r>
          </w:p>
        </w:tc>
      </w:tr>
      <w:tr w:rsidR="00702C45" w:rsidRPr="00507522" w:rsidTr="008204F1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Praćenje i ocjenjivanje studenata (označiti masnim tiskom samo relevantne kategorije)</w:t>
            </w:r>
          </w:p>
        </w:tc>
      </w:tr>
      <w:tr w:rsidR="00702C45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Obvezan seminarski rad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Vježba </w:t>
            </w:r>
            <w:r w:rsidRPr="00507522">
              <w:rPr>
                <w:color w:val="000000"/>
                <w:sz w:val="24"/>
                <w:lang w:val="hr-HR"/>
              </w:rPr>
              <w:t xml:space="preserve">ili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case</w:t>
            </w:r>
            <w:proofErr w:type="spellEnd"/>
            <w:r w:rsidRPr="00507522">
              <w:rPr>
                <w:color w:val="000000"/>
                <w:sz w:val="24"/>
                <w:lang w:val="hr-HR"/>
              </w:rPr>
              <w:t xml:space="preserve"> </w:t>
            </w:r>
            <w:proofErr w:type="spellStart"/>
            <w:r w:rsidRPr="00507522">
              <w:rPr>
                <w:color w:val="000000"/>
                <w:sz w:val="24"/>
                <w:lang w:val="hr-HR"/>
              </w:rPr>
              <w:t>study</w:t>
            </w:r>
            <w:proofErr w:type="spellEnd"/>
          </w:p>
        </w:tc>
      </w:tr>
      <w:tr w:rsidR="00702C45" w:rsidRPr="00507522" w:rsidTr="008204F1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 xml:space="preserve">Način ocjenjivanja: </w:t>
            </w:r>
            <w:r w:rsidRPr="00507522">
              <w:rPr>
                <w:color w:val="000000"/>
                <w:sz w:val="24"/>
                <w:lang w:val="hr-HR"/>
              </w:rPr>
              <w:t>seminarski rad i pismeni ispit koji sastavljaju svi predavači zajedno</w:t>
            </w:r>
          </w:p>
        </w:tc>
      </w:tr>
      <w:tr w:rsidR="00702C45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Prikaz slučaja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Analiza objavljene publikacije</w:t>
            </w:r>
          </w:p>
        </w:tc>
      </w:tr>
      <w:tr w:rsidR="00702C45" w:rsidRPr="00507522" w:rsidTr="008204F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Prezentacija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jc w:val="center"/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Praktičan rad</w:t>
            </w:r>
          </w:p>
        </w:tc>
      </w:tr>
      <w:tr w:rsidR="00702C45" w:rsidRPr="00507522" w:rsidTr="008204F1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Obvezna literatura:</w:t>
            </w:r>
          </w:p>
        </w:tc>
        <w:tc>
          <w:tcPr>
            <w:tcW w:w="80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2C45" w:rsidRPr="00507522" w:rsidTr="008204F1">
        <w:trPr>
          <w:trHeight w:val="97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31" w:rsidRDefault="006C7731" w:rsidP="006C7731">
            <w:pPr>
              <w:spacing w:before="100"/>
              <w:rPr>
                <w:sz w:val="24"/>
                <w:lang w:val="hr-HR"/>
              </w:rPr>
            </w:pPr>
            <w:r w:rsidRPr="009B1B86">
              <w:rPr>
                <w:sz w:val="24"/>
                <w:lang w:val="hr-HR"/>
              </w:rPr>
              <w:t>M</w:t>
            </w:r>
            <w:r>
              <w:rPr>
                <w:sz w:val="24"/>
                <w:lang w:val="hr-HR"/>
              </w:rPr>
              <w:t xml:space="preserve">etode u molekularnoj biologiji, </w:t>
            </w:r>
            <w:proofErr w:type="spellStart"/>
            <w:r>
              <w:rPr>
                <w:sz w:val="24"/>
                <w:lang w:val="hr-HR"/>
              </w:rPr>
              <w:t>Ambriović</w:t>
            </w:r>
            <w:proofErr w:type="spellEnd"/>
            <w:r>
              <w:rPr>
                <w:sz w:val="24"/>
                <w:lang w:val="hr-HR"/>
              </w:rPr>
              <w:t xml:space="preserve"> </w:t>
            </w:r>
            <w:proofErr w:type="spellStart"/>
            <w:r>
              <w:rPr>
                <w:sz w:val="24"/>
                <w:lang w:val="hr-HR"/>
              </w:rPr>
              <w:t>Ristov</w:t>
            </w:r>
            <w:proofErr w:type="spellEnd"/>
            <w:r w:rsidRPr="009B1B86">
              <w:rPr>
                <w:sz w:val="24"/>
                <w:lang w:val="hr-HR"/>
              </w:rPr>
              <w:t xml:space="preserve"> A</w:t>
            </w:r>
            <w:r>
              <w:rPr>
                <w:sz w:val="24"/>
                <w:lang w:val="hr-HR"/>
              </w:rPr>
              <w:t>., Brozović</w:t>
            </w:r>
            <w:r w:rsidRPr="009B1B86">
              <w:rPr>
                <w:sz w:val="24"/>
                <w:lang w:val="hr-HR"/>
              </w:rPr>
              <w:t xml:space="preserve"> A</w:t>
            </w:r>
            <w:r>
              <w:rPr>
                <w:sz w:val="24"/>
                <w:lang w:val="hr-HR"/>
              </w:rPr>
              <w:t xml:space="preserve">., </w:t>
            </w:r>
            <w:proofErr w:type="spellStart"/>
            <w:r>
              <w:rPr>
                <w:sz w:val="24"/>
                <w:lang w:val="hr-HR"/>
              </w:rPr>
              <w:t>Bruvo</w:t>
            </w:r>
            <w:proofErr w:type="spellEnd"/>
            <w:r>
              <w:rPr>
                <w:sz w:val="24"/>
                <w:lang w:val="hr-HR"/>
              </w:rPr>
              <w:t xml:space="preserve"> Mađarić</w:t>
            </w:r>
            <w:r w:rsidRPr="009B1B86">
              <w:rPr>
                <w:sz w:val="24"/>
                <w:lang w:val="hr-HR"/>
              </w:rPr>
              <w:t xml:space="preserve"> B</w:t>
            </w:r>
            <w:r>
              <w:rPr>
                <w:sz w:val="24"/>
                <w:lang w:val="hr-HR"/>
              </w:rPr>
              <w:t>., Ćetković</w:t>
            </w:r>
            <w:r w:rsidRPr="009B1B86">
              <w:rPr>
                <w:sz w:val="24"/>
                <w:lang w:val="hr-HR"/>
              </w:rPr>
              <w:t xml:space="preserve"> H</w:t>
            </w:r>
            <w:r>
              <w:rPr>
                <w:sz w:val="24"/>
                <w:lang w:val="hr-HR"/>
              </w:rPr>
              <w:t xml:space="preserve">., Herak </w:t>
            </w:r>
            <w:proofErr w:type="spellStart"/>
            <w:r>
              <w:rPr>
                <w:sz w:val="24"/>
                <w:lang w:val="hr-HR"/>
              </w:rPr>
              <w:t>Bosnar</w:t>
            </w:r>
            <w:proofErr w:type="spellEnd"/>
            <w:r w:rsidRPr="009B1B86">
              <w:rPr>
                <w:sz w:val="24"/>
                <w:lang w:val="hr-HR"/>
              </w:rPr>
              <w:t xml:space="preserve"> M</w:t>
            </w:r>
            <w:r>
              <w:rPr>
                <w:sz w:val="24"/>
                <w:lang w:val="hr-HR"/>
              </w:rPr>
              <w:t>., Hranilović</w:t>
            </w:r>
            <w:r w:rsidRPr="009B1B86">
              <w:rPr>
                <w:sz w:val="24"/>
                <w:lang w:val="hr-HR"/>
              </w:rPr>
              <w:t xml:space="preserve"> D</w:t>
            </w:r>
            <w:r>
              <w:rPr>
                <w:sz w:val="24"/>
                <w:lang w:val="hr-HR"/>
              </w:rPr>
              <w:t xml:space="preserve">., </w:t>
            </w:r>
            <w:proofErr w:type="spellStart"/>
            <w:r>
              <w:rPr>
                <w:sz w:val="24"/>
                <w:lang w:val="hr-HR"/>
              </w:rPr>
              <w:t>Katušić</w:t>
            </w:r>
            <w:proofErr w:type="spellEnd"/>
            <w:r>
              <w:rPr>
                <w:sz w:val="24"/>
                <w:lang w:val="hr-HR"/>
              </w:rPr>
              <w:t xml:space="preserve"> Hećimović S., Meštrović Radan</w:t>
            </w:r>
            <w:r w:rsidRPr="009B1B86">
              <w:rPr>
                <w:sz w:val="24"/>
                <w:lang w:val="hr-HR"/>
              </w:rPr>
              <w:t xml:space="preserve"> N</w:t>
            </w:r>
            <w:r>
              <w:rPr>
                <w:sz w:val="24"/>
                <w:lang w:val="hr-HR"/>
              </w:rPr>
              <w:t>., Mihaljević S., Slade</w:t>
            </w:r>
            <w:r w:rsidRPr="009B1B86">
              <w:rPr>
                <w:sz w:val="24"/>
                <w:lang w:val="hr-HR"/>
              </w:rPr>
              <w:t xml:space="preserve"> N</w:t>
            </w:r>
            <w:r>
              <w:rPr>
                <w:sz w:val="24"/>
                <w:lang w:val="hr-HR"/>
              </w:rPr>
              <w:t>.,</w:t>
            </w:r>
            <w:proofErr w:type="spellStart"/>
            <w:r>
              <w:rPr>
                <w:sz w:val="24"/>
                <w:lang w:val="hr-HR"/>
              </w:rPr>
              <w:t>Vujaklija</w:t>
            </w:r>
            <w:proofErr w:type="spellEnd"/>
            <w:r w:rsidRPr="009B1B86">
              <w:rPr>
                <w:sz w:val="24"/>
                <w:lang w:val="hr-HR"/>
              </w:rPr>
              <w:t xml:space="preserve"> D</w:t>
            </w:r>
            <w:r>
              <w:rPr>
                <w:sz w:val="24"/>
                <w:lang w:val="hr-HR"/>
              </w:rPr>
              <w:t>. (urednice</w:t>
            </w:r>
            <w:r w:rsidRPr="009B1B86">
              <w:rPr>
                <w:sz w:val="24"/>
                <w:lang w:val="hr-HR"/>
              </w:rPr>
              <w:t>).</w:t>
            </w:r>
            <w:r>
              <w:rPr>
                <w:sz w:val="24"/>
                <w:lang w:val="hr-HR"/>
              </w:rPr>
              <w:t xml:space="preserve"> </w:t>
            </w:r>
            <w:r w:rsidRPr="009B1B86">
              <w:rPr>
                <w:sz w:val="24"/>
                <w:lang w:val="hr-HR"/>
              </w:rPr>
              <w:t xml:space="preserve">Institut Ruđer Bošković, </w:t>
            </w:r>
            <w:r>
              <w:rPr>
                <w:sz w:val="24"/>
                <w:lang w:val="hr-HR"/>
              </w:rPr>
              <w:t>Zagreb,</w:t>
            </w:r>
            <w:r w:rsidRPr="009B1B86">
              <w:rPr>
                <w:sz w:val="24"/>
                <w:lang w:val="hr-HR"/>
              </w:rPr>
              <w:t xml:space="preserve"> </w:t>
            </w:r>
            <w:r>
              <w:rPr>
                <w:sz w:val="24"/>
                <w:lang w:val="hr-HR"/>
              </w:rPr>
              <w:t>2007</w:t>
            </w:r>
            <w:r w:rsidRPr="009B1B86">
              <w:rPr>
                <w:sz w:val="24"/>
                <w:lang w:val="hr-HR"/>
              </w:rPr>
              <w:t>.</w:t>
            </w:r>
          </w:p>
          <w:p w:rsidR="00702C45" w:rsidRPr="00507522" w:rsidRDefault="00702C45" w:rsidP="008204F1">
            <w:pPr>
              <w:jc w:val="both"/>
              <w:rPr>
                <w:color w:val="000000"/>
                <w:sz w:val="24"/>
                <w:lang w:val="hr-HR"/>
              </w:rPr>
            </w:pPr>
          </w:p>
        </w:tc>
      </w:tr>
      <w:tr w:rsidR="00702C45" w:rsidRPr="00507522" w:rsidTr="008204F1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Dopunska (preporučena) literatura: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2C45" w:rsidRPr="00507522" w:rsidTr="008204F1">
        <w:trPr>
          <w:trHeight w:val="767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6C7731" w:rsidP="008204F1">
            <w:pPr>
              <w:rPr>
                <w:color w:val="000000"/>
                <w:sz w:val="24"/>
                <w:lang w:val="hr-HR"/>
              </w:rPr>
            </w:pPr>
            <w:r>
              <w:rPr>
                <w:sz w:val="24"/>
                <w:lang w:val="hr-HR"/>
              </w:rPr>
              <w:t>Odabir najnovijih članaka iz literature; mijenja se svake godine.</w:t>
            </w:r>
          </w:p>
        </w:tc>
      </w:tr>
      <w:tr w:rsidR="00702C45" w:rsidRPr="00507522" w:rsidTr="008204F1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C45" w:rsidRPr="00507522" w:rsidRDefault="00702C45" w:rsidP="008204F1">
            <w:pPr>
              <w:rPr>
                <w:b/>
                <w:color w:val="000000"/>
                <w:sz w:val="24"/>
                <w:lang w:val="hr-HR"/>
              </w:rPr>
            </w:pPr>
            <w:r w:rsidRPr="00507522">
              <w:rPr>
                <w:b/>
                <w:color w:val="000000"/>
                <w:sz w:val="24"/>
                <w:lang w:val="hr-HR"/>
              </w:rPr>
              <w:t>Način praćenja kvalitete i uspješnosti izvedbe (evaluacija):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</w:p>
        </w:tc>
      </w:tr>
      <w:tr w:rsidR="00702C45" w:rsidRPr="00507522" w:rsidTr="008204F1">
        <w:trPr>
          <w:trHeight w:val="1202"/>
        </w:trPr>
        <w:tc>
          <w:tcPr>
            <w:tcW w:w="1048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45" w:rsidRPr="00507522" w:rsidRDefault="00702C45" w:rsidP="008204F1">
            <w:pPr>
              <w:rPr>
                <w:color w:val="000000"/>
                <w:sz w:val="24"/>
                <w:lang w:val="hr-HR"/>
              </w:rPr>
            </w:pPr>
            <w:r w:rsidRPr="00507522">
              <w:rPr>
                <w:color w:val="000000"/>
                <w:sz w:val="24"/>
                <w:lang w:val="hr-HR"/>
              </w:rPr>
              <w:t>Uspješnost kolegija će evaluirati svake godine zajedničko stručno povjerenstvo Instituta Ruđer Bošković, Sveučilišta u Dubrovniku i Sveučilišta u Osijeku, a voditelji će putem ankete od polaznika dobiti informacije o primjerenosti programa i uspješnosti od strane voditeljstva.</w:t>
            </w:r>
          </w:p>
        </w:tc>
      </w:tr>
    </w:tbl>
    <w:p w:rsidR="00022241" w:rsidRPr="00702C45" w:rsidRDefault="00022241" w:rsidP="00702C45"/>
    <w:sectPr w:rsidR="00022241" w:rsidRPr="00702C45" w:rsidSect="00704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2746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469873B4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6BEE64EF"/>
    <w:multiLevelType w:val="singleLevel"/>
    <w:tmpl w:val="B0AC4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7"/>
    <w:rsid w:val="00022241"/>
    <w:rsid w:val="005E07E6"/>
    <w:rsid w:val="006C7731"/>
    <w:rsid w:val="00702C45"/>
    <w:rsid w:val="00704607"/>
    <w:rsid w:val="0072212B"/>
    <w:rsid w:val="007D6996"/>
    <w:rsid w:val="00B143DF"/>
    <w:rsid w:val="00D856D0"/>
    <w:rsid w:val="00DB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4A05"/>
  <w15:chartTrackingRefBased/>
  <w15:docId w15:val="{900C72AF-B4AE-4D08-B08C-6853D63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704607"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4607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">
    <w:name w:val="Body Text"/>
    <w:aliases w:val="uvlaka 3,uvlaka 2, uvlaka 3,  uvlaka 2"/>
    <w:basedOn w:val="Normal"/>
    <w:link w:val="BodyTextChar"/>
    <w:rsid w:val="00704607"/>
    <w:pPr>
      <w:jc w:val="both"/>
    </w:pPr>
    <w:rPr>
      <w:sz w:val="24"/>
      <w:lang w:val="hr-HR"/>
    </w:rPr>
  </w:style>
  <w:style w:type="character" w:customStyle="1" w:styleId="BodyTextChar">
    <w:name w:val="Body Text Char"/>
    <w:aliases w:val="uvlaka 3 Char,uvlaka 2 Char, uvlaka 3 Char,  uvlaka 2 Char"/>
    <w:basedOn w:val="DefaultParagraphFont"/>
    <w:link w:val="BodyText"/>
    <w:rsid w:val="00704607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9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69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6996"/>
    <w:rPr>
      <w:rFonts w:ascii="Times New Roman" w:eastAsia="Times New Roman" w:hAnsi="Times New Roman" w:cs="Times New Roman"/>
      <w:sz w:val="16"/>
      <w:szCs w:val="16"/>
      <w:lang w:val="en-US" w:eastAsia="hr-HR"/>
    </w:rPr>
  </w:style>
  <w:style w:type="character" w:styleId="Hyperlink">
    <w:name w:val="Hyperlink"/>
    <w:rsid w:val="007D699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7D6996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character" w:customStyle="1" w:styleId="PlainTextChar">
    <w:name w:val="Plain Text Char"/>
    <w:basedOn w:val="DefaultParagraphFont"/>
    <w:link w:val="PlainText"/>
    <w:rsid w:val="007D6996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styleId="Strong">
    <w:name w:val="Strong"/>
    <w:qFormat/>
    <w:rsid w:val="00702C4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ode.avalo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8</cp:revision>
  <dcterms:created xsi:type="dcterms:W3CDTF">2016-03-17T09:04:00Z</dcterms:created>
  <dcterms:modified xsi:type="dcterms:W3CDTF">2020-02-13T09:19:00Z</dcterms:modified>
</cp:coreProperties>
</file>