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1440"/>
      </w:tblGrid>
      <w:tr w:rsidR="006D6CD1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</w:tr>
      <w:tr w:rsidR="006D6CD1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pStyle w:val="Heading1"/>
              <w:rPr>
                <w:color w:val="000000"/>
              </w:rPr>
            </w:pPr>
            <w:r w:rsidRPr="00507522">
              <w:rPr>
                <w:color w:val="000000"/>
              </w:rPr>
              <w:t>OSNOVE IMUNOKEMIJSKIH METODA</w:t>
            </w:r>
          </w:p>
        </w:tc>
      </w:tr>
      <w:tr w:rsidR="006D6CD1" w:rsidRPr="00507522" w:rsidTr="008204F1">
        <w:trPr>
          <w:trHeight w:val="311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6D6CD1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6D6CD1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Modul</w:t>
            </w:r>
            <w:r w:rsidRPr="00507522">
              <w:rPr>
                <w:b/>
                <w:color w:val="000000"/>
                <w:sz w:val="24"/>
                <w:lang w:val="hr-HR"/>
              </w:rPr>
              <w:t>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D6CD1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D</w:t>
            </w:r>
            <w:r w:rsidR="004E7014">
              <w:rPr>
                <w:color w:val="000000"/>
                <w:sz w:val="24"/>
                <w:lang w:val="hr-HR"/>
              </w:rPr>
              <w:t>oc.d</w:t>
            </w:r>
            <w:r w:rsidRPr="00507522">
              <w:rPr>
                <w:color w:val="000000"/>
                <w:sz w:val="24"/>
                <w:lang w:val="hr-HR"/>
              </w:rPr>
              <w:t>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r w:rsidR="00F24ED6">
              <w:rPr>
                <w:color w:val="000000"/>
                <w:sz w:val="24"/>
                <w:lang w:val="hr-HR"/>
              </w:rPr>
              <w:t xml:space="preserve">Paško </w:t>
            </w:r>
            <w:proofErr w:type="spellStart"/>
            <w:r w:rsidR="00F24ED6">
              <w:rPr>
                <w:color w:val="000000"/>
                <w:sz w:val="24"/>
                <w:lang w:val="hr-HR"/>
              </w:rPr>
              <w:t>Konjevoda</w:t>
            </w:r>
            <w:proofErr w:type="spellEnd"/>
            <w:r w:rsidR="00F24ED6">
              <w:rPr>
                <w:color w:val="000000"/>
                <w:sz w:val="24"/>
                <w:lang w:val="hr-HR"/>
              </w:rPr>
              <w:t xml:space="preserve">, </w:t>
            </w:r>
            <w:r w:rsidR="004E7014">
              <w:rPr>
                <w:color w:val="000000"/>
                <w:sz w:val="24"/>
                <w:lang w:val="hr-HR"/>
              </w:rPr>
              <w:t xml:space="preserve">viši </w:t>
            </w:r>
            <w:r>
              <w:rPr>
                <w:color w:val="000000"/>
                <w:sz w:val="24"/>
                <w:lang w:val="hr-HR"/>
              </w:rPr>
              <w:t>znanstveni suradnik</w:t>
            </w:r>
          </w:p>
        </w:tc>
      </w:tr>
      <w:tr w:rsidR="006D6CD1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Institut Ruđer Bošković, Zagreb</w:t>
            </w:r>
          </w:p>
        </w:tc>
      </w:tr>
      <w:tr w:rsidR="006D6CD1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ind w:left="360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□  obvezni                   </w:t>
            </w:r>
            <w:r w:rsidRPr="00507522">
              <w:rPr>
                <w:b/>
                <w:color w:val="000000"/>
                <w:sz w:val="24"/>
                <w:lang w:val="hr-HR"/>
              </w:rPr>
              <w:t>X</w:t>
            </w:r>
            <w:r w:rsidRPr="00507522">
              <w:rPr>
                <w:color w:val="000000"/>
                <w:sz w:val="24"/>
                <w:lang w:val="hr-HR"/>
              </w:rPr>
              <w:t xml:space="preserve">  izborni</w:t>
            </w:r>
          </w:p>
        </w:tc>
      </w:tr>
      <w:tr w:rsidR="006D6CD1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I. godina, I. semestar</w:t>
            </w:r>
          </w:p>
        </w:tc>
      </w:tr>
      <w:tr w:rsidR="006D6CD1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1485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jc w:val="both"/>
              <w:rPr>
                <w:rFonts w:eastAsia="Batang"/>
                <w:color w:val="000000"/>
                <w:sz w:val="24"/>
                <w:lang w:val="hr-HR"/>
              </w:rPr>
            </w:pPr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Za kemijsku i/ili instrumentalnu analizu bioloških tvari u većini slučajeva potrebno je naporno i dugotrajno izdvajanje ciljnih supstanci.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Imunokemijske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metode su osjetljive, jednostavne, selektivne, brze i isplative zamjene ili dodaci raspoloživim analitičkim metodama. Jedna od glavnih prednosti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imunokemijskih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analiza je mogućnost kvalitativne i kvantitativne karakterizacije veoma malih količina tvari neposredno u složenim biološkim uzorcima. </w:t>
            </w:r>
          </w:p>
        </w:tc>
      </w:tr>
      <w:tr w:rsidR="006D6CD1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2842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24"/>
                <w:lang w:val="hr-HR"/>
              </w:rPr>
            </w:pPr>
            <w:r w:rsidRPr="00507522">
              <w:rPr>
                <w:rFonts w:eastAsia="Batang"/>
                <w:color w:val="000000"/>
                <w:sz w:val="24"/>
                <w:lang w:val="hr-HR"/>
              </w:rPr>
              <w:t>Definicija antigena (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epitop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>) i protutijela (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paratop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). Reakcije antigen-protutijelo (specifičnost, afinitet, križna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reaktivnost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) i osnove na kojima se temelje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imunokemijske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tehnike. Imunizacija i priprava specifičnih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poliklonalnih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protutijela: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imunogeni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(stanice, velike molekule,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hapteni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, priprava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haptenskih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konjugata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), imunizacija (životinje, postupci imunizacije,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adjuvansi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), klase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imunoglobulina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, skupljanje i skladištenje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antiseruma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. Priprava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monoklonskih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rekombinantnih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protutijela. Izolacija, pročišćavanje i karakterizacija protutijela. Obilježavanje protutijela. </w:t>
            </w:r>
          </w:p>
          <w:p w:rsidR="006D6CD1" w:rsidRDefault="006D6CD1" w:rsidP="008204F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Imunotaloženje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, aglutinacija, inhibicija aglutinacije. Metode taloženja u gelu u uvjetima difuzije (jednostruka i dvostruka, jedno- i dvodimenzionalna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imunodifuzija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).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Elektroforeza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imunoelektroforeza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bugačenje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i njegova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imunodetekcija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. Radiokemijske metode (RIA).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Imunoenzimatske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(ELISA) i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imunofluorescentne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 xml:space="preserve"> metode (FIA). Protočna </w:t>
            </w:r>
            <w:proofErr w:type="spellStart"/>
            <w:r w:rsidRPr="00507522">
              <w:rPr>
                <w:rFonts w:eastAsia="Batang"/>
                <w:color w:val="000000"/>
                <w:sz w:val="24"/>
                <w:lang w:val="hr-HR"/>
              </w:rPr>
              <w:t>citometrija</w:t>
            </w:r>
            <w:proofErr w:type="spellEnd"/>
            <w:r w:rsidRPr="00507522">
              <w:rPr>
                <w:rFonts w:eastAsia="Batang"/>
                <w:color w:val="000000"/>
                <w:sz w:val="24"/>
                <w:lang w:val="hr-HR"/>
              </w:rPr>
              <w:t>.</w:t>
            </w:r>
          </w:p>
          <w:p w:rsidR="006D6CD1" w:rsidRPr="00507522" w:rsidRDefault="006D6CD1" w:rsidP="008204F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</w:t>
            </w:r>
            <w:r>
              <w:rPr>
                <w:b/>
                <w:color w:val="000000"/>
                <w:sz w:val="24"/>
                <w:lang w:val="hr-HR"/>
              </w:rPr>
              <w:t>, vještine koje predmet razvija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748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6" w:rsidRPr="003C0E2B" w:rsidRDefault="00F24ED6" w:rsidP="00F24ED6">
            <w:pPr>
              <w:pStyle w:val="BodyText"/>
            </w:pPr>
            <w:r w:rsidRPr="003C0E2B">
              <w:t>Nakon odslušanog kolegija student će:</w:t>
            </w:r>
          </w:p>
          <w:p w:rsidR="00F24ED6" w:rsidRPr="00507522" w:rsidRDefault="00F24ED6" w:rsidP="00F24ED6">
            <w:pPr>
              <w:pStyle w:val="BodyText"/>
            </w:pPr>
            <w:r w:rsidRPr="00507522">
              <w:t xml:space="preserve">- </w:t>
            </w:r>
            <w:proofErr w:type="spellStart"/>
            <w:r w:rsidRPr="00507522">
              <w:t>razumijeti</w:t>
            </w:r>
            <w:proofErr w:type="spellEnd"/>
            <w:r w:rsidRPr="00507522">
              <w:t xml:space="preserve"> osnove </w:t>
            </w:r>
            <w:r>
              <w:t xml:space="preserve">primjene </w:t>
            </w:r>
            <w:proofErr w:type="spellStart"/>
            <w:r>
              <w:t>imunokemijskih</w:t>
            </w:r>
            <w:proofErr w:type="spellEnd"/>
            <w:r>
              <w:t xml:space="preserve"> metoda u biomedicini</w:t>
            </w:r>
          </w:p>
          <w:p w:rsidR="00F24ED6" w:rsidRPr="00507522" w:rsidRDefault="00F24ED6" w:rsidP="00F24ED6">
            <w:pPr>
              <w:pStyle w:val="BodyText"/>
            </w:pPr>
            <w:r w:rsidRPr="00507522">
              <w:t xml:space="preserve">- biti sposoban čitati i </w:t>
            </w:r>
            <w:proofErr w:type="spellStart"/>
            <w:r w:rsidRPr="00507522">
              <w:t>razumijeti</w:t>
            </w:r>
            <w:proofErr w:type="spellEnd"/>
            <w:r w:rsidRPr="00507522">
              <w:t xml:space="preserve"> literaturu u </w:t>
            </w:r>
            <w:r>
              <w:t xml:space="preserve">području </w:t>
            </w:r>
            <w:proofErr w:type="spellStart"/>
            <w:r>
              <w:t>imunokemije</w:t>
            </w:r>
            <w:proofErr w:type="spellEnd"/>
          </w:p>
          <w:p w:rsidR="00F24ED6" w:rsidRDefault="00F24ED6" w:rsidP="00F24ED6">
            <w:pPr>
              <w:rPr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>- biti sposoban izdvojiti relevantne podatke i in</w:t>
            </w:r>
            <w:r>
              <w:rPr>
                <w:sz w:val="24"/>
                <w:lang w:val="hr-HR"/>
              </w:rPr>
              <w:t xml:space="preserve">formacije s interneta u svrhu </w:t>
            </w:r>
            <w:r w:rsidRPr="00507522">
              <w:rPr>
                <w:sz w:val="24"/>
                <w:lang w:val="hr-HR"/>
              </w:rPr>
              <w:t xml:space="preserve">istraživanja </w:t>
            </w:r>
            <w:r>
              <w:rPr>
                <w:sz w:val="24"/>
                <w:lang w:val="hr-HR"/>
              </w:rPr>
              <w:t xml:space="preserve">i primjene </w:t>
            </w:r>
            <w:proofErr w:type="spellStart"/>
            <w:r>
              <w:rPr>
                <w:sz w:val="24"/>
                <w:lang w:val="hr-HR"/>
              </w:rPr>
              <w:t>imunokemije</w:t>
            </w:r>
            <w:proofErr w:type="spellEnd"/>
          </w:p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13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6D6CD1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4</w:t>
            </w:r>
          </w:p>
        </w:tc>
      </w:tr>
      <w:tr w:rsidR="006D6CD1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 5</w:t>
            </w:r>
          </w:p>
        </w:tc>
      </w:tr>
      <w:tr w:rsidR="006D6CD1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 5</w:t>
            </w:r>
          </w:p>
        </w:tc>
      </w:tr>
      <w:tr w:rsidR="006D6CD1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350473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15</w:t>
            </w:r>
          </w:p>
        </w:tc>
      </w:tr>
      <w:tr w:rsidR="006D6CD1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 xml:space="preserve"> 25</w:t>
            </w:r>
          </w:p>
        </w:tc>
      </w:tr>
      <w:tr w:rsidR="006D6CD1" w:rsidRPr="00507522" w:rsidTr="008204F1">
        <w:trPr>
          <w:trHeight w:val="302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6D6CD1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Samostalni zadaci</w:t>
            </w:r>
          </w:p>
        </w:tc>
      </w:tr>
      <w:tr w:rsidR="006D6CD1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6D6CD1" w:rsidRPr="00507522" w:rsidTr="008204F1">
        <w:trPr>
          <w:trHeight w:val="546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6D6CD1" w:rsidRPr="00507522" w:rsidTr="008204F1">
        <w:trPr>
          <w:trHeight w:val="69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Obveze studenata:</w:t>
            </w:r>
          </w:p>
          <w:p w:rsidR="006D6CD1" w:rsidRPr="00507522" w:rsidRDefault="006D6CD1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Redovno pohađanje nastave, izrada seminarskog rada, sudjelovanje u praktičnoj nastavi, rasprave</w:t>
            </w:r>
          </w:p>
        </w:tc>
      </w:tr>
      <w:tr w:rsidR="006D6CD1" w:rsidRPr="00507522" w:rsidTr="008204F1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6D6CD1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Redovno 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Obvezan seminarski rad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 xml:space="preserve">Vježba </w:t>
            </w:r>
          </w:p>
        </w:tc>
      </w:tr>
      <w:tr w:rsidR="006D6CD1" w:rsidRPr="00507522" w:rsidTr="008204F1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6D6CD1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6D6CD1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507522" w:rsidRDefault="006D6CD1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6D6CD1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F24ED6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F24ED6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CD1" w:rsidRPr="00F24ED6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977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F24ED6" w:rsidRDefault="00F24ED6" w:rsidP="008204F1">
            <w:pPr>
              <w:pStyle w:val="NormalWeb1"/>
              <w:spacing w:before="0" w:after="0"/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proofErr w:type="spellStart"/>
            <w:r w:rsidRPr="00F24ED6">
              <w:rPr>
                <w:rFonts w:ascii="Times New Roman" w:hAnsi="Times New Roman"/>
                <w:sz w:val="24"/>
                <w:lang w:val="hr-HR"/>
              </w:rPr>
              <w:t>Turgeon</w:t>
            </w:r>
            <w:proofErr w:type="spellEnd"/>
            <w:r w:rsidRPr="00F24ED6">
              <w:rPr>
                <w:rFonts w:ascii="Times New Roman" w:hAnsi="Times New Roman"/>
                <w:sz w:val="24"/>
                <w:lang w:val="hr-HR"/>
              </w:rPr>
              <w:t xml:space="preserve"> ML. </w:t>
            </w:r>
            <w:proofErr w:type="spellStart"/>
            <w:r w:rsidRPr="00F24ED6">
              <w:rPr>
                <w:rFonts w:ascii="Times New Roman" w:hAnsi="Times New Roman"/>
                <w:sz w:val="24"/>
                <w:lang w:val="hr-HR"/>
              </w:rPr>
              <w:t>Immunology</w:t>
            </w:r>
            <w:proofErr w:type="spellEnd"/>
            <w:r w:rsidRPr="00F24ED6">
              <w:rPr>
                <w:rFonts w:ascii="Times New Roman" w:hAnsi="Times New Roman"/>
                <w:sz w:val="24"/>
                <w:lang w:val="hr-HR"/>
              </w:rPr>
              <w:t xml:space="preserve"> &amp; </w:t>
            </w:r>
            <w:proofErr w:type="spellStart"/>
            <w:r w:rsidRPr="00F24ED6">
              <w:rPr>
                <w:rFonts w:ascii="Times New Roman" w:hAnsi="Times New Roman"/>
                <w:sz w:val="24"/>
                <w:lang w:val="hr-HR"/>
              </w:rPr>
              <w:t>Serology</w:t>
            </w:r>
            <w:proofErr w:type="spellEnd"/>
            <w:r w:rsidRPr="00F24ED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proofErr w:type="spellStart"/>
            <w:r w:rsidRPr="00F24ED6">
              <w:rPr>
                <w:rFonts w:ascii="Times New Roman" w:hAnsi="Times New Roman"/>
                <w:sz w:val="24"/>
                <w:lang w:val="hr-HR"/>
              </w:rPr>
              <w:t>in</w:t>
            </w:r>
            <w:proofErr w:type="spellEnd"/>
            <w:r w:rsidRPr="00F24ED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proofErr w:type="spellStart"/>
            <w:r w:rsidRPr="00F24ED6">
              <w:rPr>
                <w:rFonts w:ascii="Times New Roman" w:hAnsi="Times New Roman"/>
                <w:sz w:val="24"/>
                <w:lang w:val="hr-HR"/>
              </w:rPr>
              <w:t>Laboratory</w:t>
            </w:r>
            <w:proofErr w:type="spellEnd"/>
            <w:r w:rsidRPr="00F24ED6">
              <w:rPr>
                <w:rFonts w:ascii="Times New Roman" w:hAnsi="Times New Roman"/>
                <w:sz w:val="24"/>
                <w:lang w:val="hr-HR"/>
              </w:rPr>
              <w:t xml:space="preserve"> Medicine. 5th </w:t>
            </w:r>
            <w:proofErr w:type="spellStart"/>
            <w:r w:rsidRPr="00F24ED6">
              <w:rPr>
                <w:rFonts w:ascii="Times New Roman" w:hAnsi="Times New Roman"/>
                <w:sz w:val="24"/>
                <w:lang w:val="hr-HR"/>
              </w:rPr>
              <w:t>edition</w:t>
            </w:r>
            <w:proofErr w:type="spellEnd"/>
            <w:r w:rsidRPr="00F24ED6">
              <w:rPr>
                <w:rFonts w:ascii="Times New Roman" w:hAnsi="Times New Roman"/>
                <w:sz w:val="24"/>
                <w:lang w:val="hr-HR"/>
              </w:rPr>
              <w:t>. 2014, Amsterdam, Elsevier.</w:t>
            </w:r>
          </w:p>
        </w:tc>
      </w:tr>
      <w:tr w:rsidR="006D6CD1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F24ED6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F24ED6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CD1" w:rsidRPr="00F24ED6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1026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D6" w:rsidRPr="00F24ED6" w:rsidRDefault="00F24ED6" w:rsidP="00F24ED6">
            <w:pPr>
              <w:spacing w:before="100"/>
              <w:rPr>
                <w:color w:val="000000"/>
                <w:sz w:val="24"/>
                <w:lang w:val="hr-HR"/>
              </w:rPr>
            </w:pPr>
            <w:proofErr w:type="spellStart"/>
            <w:r w:rsidRPr="00F24ED6">
              <w:rPr>
                <w:color w:val="000000"/>
                <w:sz w:val="24"/>
                <w:lang w:val="hr-HR"/>
              </w:rPr>
              <w:t>Wild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 xml:space="preserve"> D (editor). </w:t>
            </w:r>
            <w:proofErr w:type="spellStart"/>
            <w:r w:rsidRPr="00F24ED6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F24ED6">
              <w:rPr>
                <w:color w:val="000000"/>
                <w:sz w:val="24"/>
                <w:lang w:val="hr-HR"/>
              </w:rPr>
              <w:t>Immunoassay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F24ED6">
              <w:rPr>
                <w:color w:val="000000"/>
                <w:sz w:val="24"/>
                <w:lang w:val="hr-HR"/>
              </w:rPr>
              <w:t>Handbook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 xml:space="preserve">. 4th </w:t>
            </w:r>
            <w:proofErr w:type="spellStart"/>
            <w:r w:rsidRPr="00F24ED6">
              <w:rPr>
                <w:color w:val="000000"/>
                <w:sz w:val="24"/>
                <w:lang w:val="hr-HR"/>
              </w:rPr>
              <w:t>edition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>. 2013, Amsterdam, Elsevier.</w:t>
            </w:r>
          </w:p>
          <w:p w:rsidR="00F24ED6" w:rsidRPr="00F24ED6" w:rsidRDefault="00F24ED6" w:rsidP="00F24ED6">
            <w:pPr>
              <w:spacing w:before="100"/>
              <w:rPr>
                <w:color w:val="000000"/>
                <w:sz w:val="24"/>
                <w:lang w:val="hr-HR"/>
              </w:rPr>
            </w:pPr>
            <w:proofErr w:type="spellStart"/>
            <w:r w:rsidRPr="00F24ED6">
              <w:rPr>
                <w:color w:val="000000"/>
                <w:sz w:val="24"/>
                <w:lang w:val="hr-HR"/>
              </w:rPr>
              <w:t>Dodig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 xml:space="preserve"> S. </w:t>
            </w:r>
            <w:proofErr w:type="spellStart"/>
            <w:r w:rsidRPr="00F24ED6">
              <w:rPr>
                <w:color w:val="000000"/>
                <w:sz w:val="24"/>
                <w:lang w:val="hr-HR"/>
              </w:rPr>
              <w:t>Imunokemija</w:t>
            </w:r>
            <w:proofErr w:type="spellEnd"/>
            <w:r w:rsidRPr="00F24ED6">
              <w:rPr>
                <w:color w:val="000000"/>
                <w:sz w:val="24"/>
                <w:lang w:val="hr-HR"/>
              </w:rPr>
              <w:t>. 2015, Medicinska naklada, Zagreb.</w:t>
            </w:r>
          </w:p>
          <w:p w:rsidR="006D6CD1" w:rsidRPr="00F24ED6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D1" w:rsidRPr="00F24ED6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F24ED6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6D6CD1" w:rsidRPr="00507522" w:rsidTr="008204F1">
        <w:trPr>
          <w:trHeight w:val="1500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Provjera razumijevanja dobivenih informacija za tematske cjeline.</w:t>
            </w:r>
          </w:p>
          <w:p w:rsidR="006D6CD1" w:rsidRPr="00507522" w:rsidRDefault="006D6CD1" w:rsidP="008204F1">
            <w:pPr>
              <w:jc w:val="both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Ispitivanje primjerenosti programa, načina prezentacije, nastavnih materijala, usvajanja gradiva na kraju predavanja.</w:t>
            </w:r>
          </w:p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Rasprave sa studentima i kolegama.</w:t>
            </w:r>
          </w:p>
          <w:p w:rsidR="006D6CD1" w:rsidRPr="00507522" w:rsidRDefault="006D6CD1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Praćenje napredovanja svakoga studenta.</w:t>
            </w:r>
          </w:p>
          <w:p w:rsidR="006D6CD1" w:rsidRPr="00507522" w:rsidRDefault="006D6CD1" w:rsidP="008204F1">
            <w:pPr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evaluirati će svake godine zajedničko stručno povjerenstvo Instituta Ruđer Bošković, Sveučilišta u Dubrovniku i Sveučilišta u Osijeku.</w:t>
            </w:r>
          </w:p>
        </w:tc>
      </w:tr>
    </w:tbl>
    <w:p w:rsidR="00022241" w:rsidRPr="006D6CD1" w:rsidRDefault="00022241" w:rsidP="006D6CD1"/>
    <w:sectPr w:rsidR="00022241" w:rsidRPr="006D6CD1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87A"/>
    <w:multiLevelType w:val="multilevel"/>
    <w:tmpl w:val="27FC6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5BDF34C0"/>
    <w:multiLevelType w:val="multilevel"/>
    <w:tmpl w:val="F03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79811BFB"/>
    <w:multiLevelType w:val="multilevel"/>
    <w:tmpl w:val="5290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350473"/>
    <w:rsid w:val="004E7014"/>
    <w:rsid w:val="005F5D81"/>
    <w:rsid w:val="006D6CD1"/>
    <w:rsid w:val="00702C45"/>
    <w:rsid w:val="00704607"/>
    <w:rsid w:val="007D6996"/>
    <w:rsid w:val="00B02BE2"/>
    <w:rsid w:val="00BB5E87"/>
    <w:rsid w:val="00D343CE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F6A2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  <w:style w:type="paragraph" w:customStyle="1" w:styleId="NormalWeb1">
    <w:name w:val="Normal (Web)1"/>
    <w:basedOn w:val="Normal"/>
    <w:rsid w:val="006D6CD1"/>
    <w:pPr>
      <w:spacing w:before="100" w:after="100"/>
    </w:pPr>
    <w:rPr>
      <w:rFonts w:ascii="Helvetica" w:eastAsia="Arial Unicode MS" w:hAnsi="Helvetica"/>
      <w:sz w:val="15"/>
      <w:lang w:val="en-GB"/>
    </w:rPr>
  </w:style>
  <w:style w:type="character" w:customStyle="1" w:styleId="producttitlebold1">
    <w:name w:val="producttitlebold1"/>
    <w:rsid w:val="006D6CD1"/>
    <w:rPr>
      <w:rFonts w:ascii="Arial" w:hAnsi="Arial" w:cs="Arial"/>
      <w:b/>
      <w:bCs/>
      <w:color w:val="auto"/>
      <w:sz w:val="16"/>
      <w:szCs w:val="16"/>
    </w:rPr>
  </w:style>
  <w:style w:type="character" w:customStyle="1" w:styleId="small1">
    <w:name w:val="small1"/>
    <w:rsid w:val="006D6CD1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2016-03-17T09:13:00Z</dcterms:created>
  <dcterms:modified xsi:type="dcterms:W3CDTF">2020-02-13T09:21:00Z</dcterms:modified>
</cp:coreProperties>
</file>