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1440"/>
      </w:tblGrid>
      <w:tr w:rsidR="00BB5E87" w:rsidRPr="00507522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Šifra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</w:tr>
      <w:tr w:rsidR="00BB5E87" w:rsidRPr="00507522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Naziv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EB6686" w:rsidP="008204F1">
            <w:pPr>
              <w:pStyle w:val="Heading1"/>
              <w:rPr>
                <w:color w:val="000000"/>
              </w:rPr>
            </w:pPr>
            <w:r w:rsidRPr="00EB6686">
              <w:rPr>
                <w:color w:val="000000"/>
              </w:rPr>
              <w:t>PRIMJENA KULTURA STANICA I TKIVA U BIOMEDICINSKIM ISTRAŽIVANJIMA</w:t>
            </w:r>
          </w:p>
        </w:tc>
      </w:tr>
      <w:tr w:rsidR="00BB5E87" w:rsidRPr="00507522" w:rsidTr="008204F1">
        <w:trPr>
          <w:trHeight w:val="311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OPĆI PODACI:</w:t>
            </w:r>
          </w:p>
        </w:tc>
      </w:tr>
      <w:tr w:rsidR="00BB5E87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Studijski program:</w:t>
            </w:r>
          </w:p>
        </w:tc>
        <w:tc>
          <w:tcPr>
            <w:tcW w:w="6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Molekularne </w:t>
            </w:r>
            <w:proofErr w:type="spellStart"/>
            <w:r w:rsidRPr="00507522">
              <w:rPr>
                <w:b/>
                <w:color w:val="000000"/>
                <w:sz w:val="24"/>
                <w:lang w:val="hr-HR"/>
              </w:rPr>
              <w:t>bioznanosti</w:t>
            </w:r>
            <w:proofErr w:type="spellEnd"/>
          </w:p>
        </w:tc>
      </w:tr>
      <w:tr w:rsidR="00BB5E87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Modul</w:t>
            </w:r>
            <w:r w:rsidRPr="00507522">
              <w:rPr>
                <w:b/>
                <w:color w:val="000000"/>
                <w:sz w:val="24"/>
                <w:lang w:val="hr-HR"/>
              </w:rPr>
              <w:t>:</w:t>
            </w:r>
          </w:p>
        </w:tc>
        <w:tc>
          <w:tcPr>
            <w:tcW w:w="6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izborni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kolegij</w:t>
            </w:r>
            <w:proofErr w:type="spellEnd"/>
            <w:r w:rsidRPr="004C30EE">
              <w:rPr>
                <w:sz w:val="24"/>
                <w:szCs w:val="24"/>
              </w:rPr>
              <w:t xml:space="preserve"> (</w:t>
            </w:r>
            <w:proofErr w:type="spellStart"/>
            <w:r w:rsidRPr="004C30EE">
              <w:rPr>
                <w:sz w:val="24"/>
                <w:szCs w:val="24"/>
              </w:rPr>
              <w:t>met</w:t>
            </w:r>
            <w:r>
              <w:rPr>
                <w:sz w:val="24"/>
                <w:szCs w:val="24"/>
              </w:rPr>
              <w:t>odološki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B5E87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Nositelj predmeta:</w:t>
            </w:r>
          </w:p>
        </w:tc>
        <w:tc>
          <w:tcPr>
            <w:tcW w:w="6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Default="00040A70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P</w:t>
            </w:r>
            <w:r w:rsidR="00BB5E87">
              <w:rPr>
                <w:color w:val="000000"/>
                <w:sz w:val="24"/>
                <w:lang w:val="hr-HR"/>
              </w:rPr>
              <w:t xml:space="preserve">rof.dr.sc. Neven </w:t>
            </w:r>
            <w:proofErr w:type="spellStart"/>
            <w:r w:rsidR="00BB5E87">
              <w:rPr>
                <w:color w:val="000000"/>
                <w:sz w:val="24"/>
                <w:lang w:val="hr-HR"/>
              </w:rPr>
              <w:t>Žarković</w:t>
            </w:r>
            <w:proofErr w:type="spellEnd"/>
            <w:r w:rsidR="00BB5E87">
              <w:rPr>
                <w:color w:val="000000"/>
                <w:sz w:val="24"/>
                <w:lang w:val="hr-HR"/>
              </w:rPr>
              <w:t>, znanstve</w:t>
            </w:r>
            <w:r w:rsidR="00486A39">
              <w:rPr>
                <w:color w:val="000000"/>
                <w:sz w:val="24"/>
                <w:lang w:val="hr-HR"/>
              </w:rPr>
              <w:t>n</w:t>
            </w:r>
            <w:r w:rsidR="00BB5E87">
              <w:rPr>
                <w:color w:val="000000"/>
                <w:sz w:val="24"/>
                <w:lang w:val="hr-HR"/>
              </w:rPr>
              <w:t>i savjetnik-trajno zvanje</w:t>
            </w:r>
          </w:p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D</w:t>
            </w:r>
            <w:r w:rsidR="00040A70">
              <w:rPr>
                <w:color w:val="000000"/>
                <w:sz w:val="24"/>
                <w:lang w:val="hr-HR"/>
              </w:rPr>
              <w:t>oc.d</w:t>
            </w:r>
            <w:r>
              <w:rPr>
                <w:color w:val="000000"/>
                <w:sz w:val="24"/>
                <w:lang w:val="hr-HR"/>
              </w:rPr>
              <w:t xml:space="preserve">r.sc. </w:t>
            </w:r>
            <w:r w:rsidRPr="00507522">
              <w:rPr>
                <w:color w:val="000000"/>
                <w:sz w:val="24"/>
                <w:lang w:val="hr-HR"/>
              </w:rPr>
              <w:t>Suzana Borović Šunjić</w:t>
            </w:r>
            <w:r>
              <w:rPr>
                <w:color w:val="000000"/>
                <w:sz w:val="24"/>
                <w:lang w:val="hr-HR"/>
              </w:rPr>
              <w:t>, viša znanstvena suradnica</w:t>
            </w:r>
          </w:p>
        </w:tc>
      </w:tr>
      <w:tr w:rsidR="00BB5E87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Ustanova nositelja predmeta: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Institut Ruđer Bošković</w:t>
            </w:r>
          </w:p>
        </w:tc>
      </w:tr>
      <w:tr w:rsidR="00BB5E87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Suradnici – izvoditelji: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B5E87" w:rsidRPr="00507522" w:rsidTr="008204F1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Status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ind w:left="360"/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□  obvezni                   X</w:t>
            </w:r>
            <w:r w:rsidRPr="00507522">
              <w:rPr>
                <w:color w:val="000000"/>
                <w:sz w:val="24"/>
                <w:lang w:val="hr-HR"/>
              </w:rPr>
              <w:t xml:space="preserve">  izborni</w:t>
            </w:r>
          </w:p>
        </w:tc>
      </w:tr>
      <w:tr w:rsidR="00BB5E87" w:rsidRPr="00507522" w:rsidTr="008204F1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Godina i semestar u kojem se predmet predaje: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ind w:left="360"/>
              <w:jc w:val="both"/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I</w:t>
            </w:r>
            <w:r w:rsidRPr="00507522">
              <w:rPr>
                <w:color w:val="000000"/>
                <w:sz w:val="24"/>
                <w:lang w:val="hr-HR"/>
              </w:rPr>
              <w:t>. godina</w:t>
            </w:r>
            <w:r>
              <w:rPr>
                <w:color w:val="000000"/>
                <w:sz w:val="24"/>
                <w:lang w:val="hr-HR"/>
              </w:rPr>
              <w:t>, I. semestar</w:t>
            </w:r>
          </w:p>
        </w:tc>
      </w:tr>
      <w:tr w:rsidR="00BB5E87" w:rsidRPr="00507522" w:rsidTr="008204F1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Cilj predmeta:</w:t>
            </w: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B5E87" w:rsidRPr="00507522" w:rsidTr="008204F1">
        <w:trPr>
          <w:trHeight w:val="1237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Cilj predmeta je upoznati polaznike studija s osnovnim metodama uzgoja stanica i tkiva, kao i metodama praćenja osnovnih parametara rasta stanica. Nakon pohađanja ovog kolegija, polaznici bi trebali dobiti osnovno znanje o radu sa staničnim kulturama koje bi im omogućilo samostalan rad sa staničnim kulturama.  </w:t>
            </w:r>
          </w:p>
        </w:tc>
      </w:tr>
      <w:tr w:rsidR="00BB5E87" w:rsidRPr="00507522" w:rsidTr="008204F1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Sadržaj predmeta:</w:t>
            </w:r>
          </w:p>
        </w:tc>
        <w:tc>
          <w:tcPr>
            <w:tcW w:w="686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B5E87" w:rsidRPr="00507522" w:rsidTr="008204F1">
        <w:trPr>
          <w:trHeight w:val="2842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</w:p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- prednosti i nedostaci upotrebe staničnih kultura; biologija staničnih kultura</w:t>
            </w:r>
          </w:p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- aseptičke metode i održavanje sterilnosti</w:t>
            </w:r>
          </w:p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- uvjeti za uzgoj staničnih kultura: supstrati, medij i temperatura</w:t>
            </w:r>
          </w:p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- izolacija primarnih staničnih kultura</w:t>
            </w:r>
          </w:p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- uzgoj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organokultura</w:t>
            </w:r>
            <w:proofErr w:type="spellEnd"/>
          </w:p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- održavanje i čuvanje staničnih kultura</w:t>
            </w:r>
          </w:p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- mjerenje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vijabilnosti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i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citotoksičnosti</w:t>
            </w:r>
            <w:proofErr w:type="spellEnd"/>
          </w:p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- dizajn pokusa i tumačenje rezultata</w:t>
            </w:r>
          </w:p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- specijalizirane tehnike rada sa staničnim kulturama</w:t>
            </w:r>
          </w:p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B5E87" w:rsidRPr="00507522" w:rsidTr="008204F1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Ishodi učenja: k</w:t>
            </w:r>
            <w:r w:rsidRPr="00507522">
              <w:rPr>
                <w:b/>
                <w:color w:val="000000"/>
                <w:sz w:val="24"/>
                <w:lang w:val="hr-HR"/>
              </w:rPr>
              <w:t>ompetencije, znanje</w:t>
            </w:r>
            <w:r>
              <w:rPr>
                <w:b/>
                <w:color w:val="000000"/>
                <w:sz w:val="24"/>
                <w:lang w:val="hr-HR"/>
              </w:rPr>
              <w:t>, vještine koje predmet razvija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B5E87" w:rsidRPr="00507522" w:rsidTr="008204F1">
        <w:trPr>
          <w:trHeight w:val="1345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9" w:rsidRPr="003C0E2B" w:rsidRDefault="00486A39" w:rsidP="00486A39">
            <w:pPr>
              <w:pStyle w:val="BodyText"/>
            </w:pPr>
            <w:r w:rsidRPr="003C0E2B">
              <w:t>Nakon odslušanog kolegija student</w:t>
            </w:r>
            <w:r>
              <w:t>i</w:t>
            </w:r>
            <w:r w:rsidRPr="003C0E2B">
              <w:t xml:space="preserve"> će:</w:t>
            </w:r>
          </w:p>
          <w:p w:rsidR="00486A39" w:rsidRDefault="00486A39" w:rsidP="00486A39">
            <w:pPr>
              <w:pStyle w:val="BodyText"/>
            </w:pPr>
            <w:r w:rsidRPr="00507522">
              <w:t xml:space="preserve">- </w:t>
            </w:r>
            <w:r>
              <w:t>dobiti osnovno znanje o radu u sterilnim uvjetima</w:t>
            </w:r>
          </w:p>
          <w:p w:rsidR="00486A39" w:rsidRDefault="00486A39" w:rsidP="00486A39">
            <w:pPr>
              <w:pStyle w:val="BodyText"/>
            </w:pPr>
            <w:r>
              <w:t xml:space="preserve">- razumjeti osnove </w:t>
            </w:r>
            <w:r w:rsidRPr="00507522">
              <w:rPr>
                <w:color w:val="000000"/>
              </w:rPr>
              <w:t>uzgoja stanica i rada sa staničnim kulturama</w:t>
            </w:r>
          </w:p>
          <w:p w:rsidR="00BB5E87" w:rsidRPr="00507522" w:rsidRDefault="00486A39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- </w:t>
            </w:r>
            <w:r>
              <w:rPr>
                <w:color w:val="000000"/>
                <w:sz w:val="24"/>
                <w:lang w:val="hr-HR"/>
              </w:rPr>
              <w:t>steći</w:t>
            </w:r>
            <w:r w:rsidRPr="00820A75">
              <w:rPr>
                <w:color w:val="000000"/>
                <w:sz w:val="24"/>
                <w:lang w:val="hr-HR"/>
              </w:rPr>
              <w:t xml:space="preserve"> osnovn</w:t>
            </w:r>
            <w:r>
              <w:rPr>
                <w:color w:val="000000"/>
                <w:sz w:val="24"/>
                <w:lang w:val="hr-HR"/>
              </w:rPr>
              <w:t xml:space="preserve">e </w:t>
            </w:r>
            <w:r w:rsidRPr="00507522">
              <w:rPr>
                <w:color w:val="000000"/>
                <w:sz w:val="24"/>
                <w:lang w:val="hr-HR"/>
              </w:rPr>
              <w:t>dizajniranja pokusa i tumačenja rezultata koje bi im omogućilo samostalan rad sa staničnim kulturama</w:t>
            </w:r>
          </w:p>
        </w:tc>
      </w:tr>
      <w:tr w:rsidR="00BB5E87" w:rsidRPr="00507522" w:rsidTr="008204F1">
        <w:trPr>
          <w:trHeight w:val="135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Satnica, način izvedbe i ECTS koeficijent opterećenja studenta</w:t>
            </w:r>
          </w:p>
        </w:tc>
      </w:tr>
      <w:tr w:rsidR="00BB5E87" w:rsidRPr="00507522" w:rsidTr="008204F1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ECTS bodovi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4</w:t>
            </w:r>
          </w:p>
        </w:tc>
      </w:tr>
      <w:tr w:rsidR="00BB5E87" w:rsidRPr="00507522" w:rsidTr="008204F1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  5</w:t>
            </w:r>
          </w:p>
        </w:tc>
      </w:tr>
      <w:tr w:rsidR="00BB5E87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Seminari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  5</w:t>
            </w:r>
          </w:p>
        </w:tc>
      </w:tr>
      <w:tr w:rsidR="00BB5E87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Vježbe</w:t>
            </w:r>
            <w:r w:rsidR="00893D42">
              <w:rPr>
                <w:color w:val="000000"/>
                <w:sz w:val="24"/>
                <w:lang w:val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15</w:t>
            </w:r>
          </w:p>
        </w:tc>
      </w:tr>
      <w:tr w:rsidR="00BB5E87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Ukupno</w:t>
            </w:r>
          </w:p>
        </w:tc>
        <w:tc>
          <w:tcPr>
            <w:tcW w:w="5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25</w:t>
            </w:r>
          </w:p>
        </w:tc>
      </w:tr>
      <w:tr w:rsidR="00BB5E87" w:rsidRPr="00507522" w:rsidTr="008204F1">
        <w:trPr>
          <w:trHeight w:val="302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E87" w:rsidRPr="00507522" w:rsidRDefault="00BB5E8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IZVOĐENJA NASTAVE I USVAJANJA ZNANJA</w:t>
            </w:r>
          </w:p>
        </w:tc>
      </w:tr>
      <w:tr w:rsidR="00BB5E87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Radionice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Samostalni zadaci</w:t>
            </w:r>
          </w:p>
        </w:tc>
      </w:tr>
      <w:tr w:rsidR="00BB5E87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Mentorski rad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Terenska nastava</w:t>
            </w:r>
          </w:p>
        </w:tc>
      </w:tr>
      <w:tr w:rsidR="00BB5E87" w:rsidRPr="00507522" w:rsidTr="008204F1">
        <w:trPr>
          <w:trHeight w:val="869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Napomene:</w:t>
            </w:r>
          </w:p>
        </w:tc>
      </w:tr>
      <w:tr w:rsidR="00BB5E87" w:rsidRPr="00507522" w:rsidTr="008204F1">
        <w:trPr>
          <w:trHeight w:val="695"/>
        </w:trPr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Obveze studenata:</w:t>
            </w:r>
          </w:p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redovito pohađanje nastave uz mogući opravdani izostanak do 2 sata nastave</w:t>
            </w:r>
          </w:p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</w:p>
        </w:tc>
      </w:tr>
      <w:tr w:rsidR="00BB5E87" w:rsidRPr="00507522" w:rsidTr="008204F1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Praćenje i ocjenjivanje studenata (označiti masnim tiskom samo relevantne kategorije)</w:t>
            </w:r>
          </w:p>
        </w:tc>
      </w:tr>
      <w:tr w:rsidR="00BB5E87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lastRenderedPageBreak/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Obvezan seminarski rad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Vježba ili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case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study</w:t>
            </w:r>
            <w:proofErr w:type="spellEnd"/>
          </w:p>
        </w:tc>
      </w:tr>
      <w:tr w:rsidR="00BB5E87" w:rsidRPr="00507522" w:rsidTr="008204F1">
        <w:tc>
          <w:tcPr>
            <w:tcW w:w="92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ocjenjivanja:</w:t>
            </w:r>
          </w:p>
        </w:tc>
      </w:tr>
      <w:tr w:rsidR="00BB5E87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Prikaz slučaja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Analiza objavljene publikacije</w:t>
            </w:r>
          </w:p>
        </w:tc>
      </w:tr>
      <w:tr w:rsidR="00BB5E87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Prezentacija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Praktičan rad</w:t>
            </w:r>
          </w:p>
        </w:tc>
      </w:tr>
      <w:tr w:rsidR="00BB5E87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Obvezna literatura:</w:t>
            </w:r>
          </w:p>
        </w:tc>
        <w:tc>
          <w:tcPr>
            <w:tcW w:w="686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B5E87" w:rsidRPr="00507522" w:rsidTr="008204F1">
        <w:trPr>
          <w:trHeight w:val="977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BB5E87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Sović A, Borović S, Lončarić I,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Kreuzer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T,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Žarković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K, Vuković T,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Waeg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G,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Hrašćan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R,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Wintersteiger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R,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Klinger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R,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Zurak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N,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Schaur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RJ,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Žarković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N: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The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carcinostatic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proapoptotic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potential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4-hydroxynonenal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in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HeLa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cells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is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associated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with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its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conjugation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to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cellular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proteins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Anticanc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Res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21:1997-2004, 2001 </w:t>
            </w:r>
          </w:p>
          <w:p w:rsidR="00BB5E87" w:rsidRPr="00507522" w:rsidRDefault="00BB5E87" w:rsidP="00BB5E87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Semlitsch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T,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Tillian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HM,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Žarković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N, Borović S,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Purtscher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M,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Hohenwarter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O,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Schaur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RJ: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Differential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Influence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the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Lipid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Peroxidation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Product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4-Hydroxynonenal on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the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Growth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Human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Lymphatic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Leukaemia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Cells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Human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Peripheral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Blood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Lymphocytes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Anticancer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Res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,</w:t>
            </w:r>
            <w:r w:rsidRPr="00507522">
              <w:rPr>
                <w:b/>
                <w:color w:val="000000"/>
                <w:sz w:val="24"/>
                <w:lang w:val="hr-HR"/>
              </w:rPr>
              <w:t xml:space="preserve"> </w:t>
            </w:r>
            <w:r w:rsidRPr="00507522">
              <w:rPr>
                <w:color w:val="000000"/>
                <w:sz w:val="24"/>
                <w:lang w:val="hr-HR"/>
              </w:rPr>
              <w:t xml:space="preserve">22:1689-1697, 2002 </w:t>
            </w:r>
          </w:p>
          <w:p w:rsidR="00BB5E87" w:rsidRPr="00507522" w:rsidRDefault="00BB5E87" w:rsidP="00BB5E87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Wildburger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R,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Žarković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N, Borović S,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Žarković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K,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Kejla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Z: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Enhanced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osteogenesis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Systemic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consequence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traumatic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brain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injury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: U: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Shock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sepsis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Organ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Failure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5th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Wiggers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Bernard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Conference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Schlag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G,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Redl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H,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Traber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DL, (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ur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.),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Springer-Verlag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Heidelberg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, 305-318, 1997</w:t>
            </w:r>
          </w:p>
          <w:p w:rsidR="00BB5E87" w:rsidRPr="00507522" w:rsidRDefault="00BB5E87" w:rsidP="00BB5E87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Freshney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RI: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Animal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cell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culture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: A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practical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approach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Irl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Press</w:t>
            </w:r>
          </w:p>
          <w:p w:rsidR="00BB5E87" w:rsidRPr="00507522" w:rsidRDefault="00BB5E87" w:rsidP="00BB5E87">
            <w:pPr>
              <w:numPr>
                <w:ilvl w:val="0"/>
                <w:numId w:val="6"/>
              </w:numPr>
              <w:ind w:left="360"/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skripta (u pripremi)</w:t>
            </w:r>
          </w:p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B5E87" w:rsidRPr="00507522" w:rsidTr="008204F1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Dopunska (preporučena) literatura: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B5E87" w:rsidRPr="00507522" w:rsidTr="008204F1">
        <w:trPr>
          <w:trHeight w:val="1862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jc w:val="both"/>
              <w:rPr>
                <w:color w:val="000000"/>
                <w:sz w:val="24"/>
                <w:lang w:val="hr-HR"/>
              </w:rPr>
            </w:pPr>
          </w:p>
          <w:p w:rsidR="00BB5E87" w:rsidRPr="00507522" w:rsidRDefault="00BB5E87" w:rsidP="00BB5E87">
            <w:pPr>
              <w:numPr>
                <w:ilvl w:val="0"/>
                <w:numId w:val="7"/>
              </w:numPr>
              <w:ind w:left="360"/>
              <w:jc w:val="both"/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Freshney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RI: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Culture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animal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cells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Wiley-Liss</w:t>
            </w:r>
            <w:proofErr w:type="spellEnd"/>
          </w:p>
          <w:p w:rsidR="00BB5E87" w:rsidRPr="00507522" w:rsidRDefault="00BB5E87" w:rsidP="00BB5E87">
            <w:pPr>
              <w:numPr>
                <w:ilvl w:val="0"/>
                <w:numId w:val="7"/>
              </w:numPr>
              <w:ind w:left="360"/>
              <w:jc w:val="both"/>
              <w:rPr>
                <w:color w:val="000000"/>
                <w:sz w:val="24"/>
                <w:lang w:val="hr-HR"/>
              </w:rPr>
            </w:pPr>
            <w:proofErr w:type="spellStart"/>
            <w:r w:rsidRPr="00507522">
              <w:rPr>
                <w:color w:val="000000"/>
                <w:sz w:val="24"/>
                <w:lang w:val="hr-HR"/>
              </w:rPr>
              <w:t>Adams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R.L.P.: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Laboratory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techniques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in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biochemistry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molecular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biology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>, ELSEVIER</w:t>
            </w:r>
          </w:p>
          <w:p w:rsidR="00BB5E87" w:rsidRPr="00507522" w:rsidRDefault="00BB5E87" w:rsidP="00BB5E87">
            <w:pPr>
              <w:numPr>
                <w:ilvl w:val="0"/>
                <w:numId w:val="7"/>
              </w:numPr>
              <w:ind w:left="360"/>
              <w:jc w:val="both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Borović Šunjić, Suzana;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Čipak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Ana;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Wildburger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Renate;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Žarković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, Neven.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The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influence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4-hydroxy-2-nonenal on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proliferation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and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differentiation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of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human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osteosarcoma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cells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Biofactors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. 2005, </w:t>
            </w:r>
            <w:r w:rsidRPr="00507522">
              <w:rPr>
                <w:i/>
                <w:color w:val="000000"/>
                <w:sz w:val="24"/>
                <w:lang w:val="hr-HR"/>
              </w:rPr>
              <w:t>u tisku</w:t>
            </w:r>
          </w:p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</w:p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B5E87" w:rsidRPr="00507522" w:rsidTr="008204F1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praćenja kvalitete i uspješnosti izvedbe (evaluacija):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BB5E87" w:rsidRPr="00507522" w:rsidTr="008204F1">
        <w:trPr>
          <w:trHeight w:val="1500"/>
        </w:trPr>
        <w:tc>
          <w:tcPr>
            <w:tcW w:w="928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Za pojedina predavanja – tematske cjeline – provjera razumijevanja dobivenih informacija, načina prezentacije, itd.</w:t>
            </w:r>
          </w:p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Rasprave sa studentima i kolegama – anketa po završetku kolegija.</w:t>
            </w:r>
          </w:p>
          <w:p w:rsidR="00BB5E87" w:rsidRPr="00507522" w:rsidRDefault="00BB5E87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Praćenje napredovanja svakoga studenta.</w:t>
            </w:r>
          </w:p>
          <w:p w:rsidR="00BB5E87" w:rsidRPr="00507522" w:rsidRDefault="00BB5E87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Evaluacija uspješnosti od strane voditeljstva studija i zajedničkog stručnog povjerenstva ustanova nositelja studija. Uspješnost kolegija će evaluirati svake godine zajedničko stručno povjerenstvo Instituta Ruđer Bošković, Sveučilišta u Dubrovniku i Sveučilišta u Osijeku”.</w:t>
            </w:r>
          </w:p>
        </w:tc>
      </w:tr>
    </w:tbl>
    <w:p w:rsidR="00022241" w:rsidRPr="00BB5E87" w:rsidRDefault="00022241" w:rsidP="00BB5E87"/>
    <w:sectPr w:rsidR="00022241" w:rsidRPr="00BB5E87" w:rsidSect="00704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87A"/>
    <w:multiLevelType w:val="multilevel"/>
    <w:tmpl w:val="27FC6A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CA02746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322B51FD"/>
    <w:multiLevelType w:val="multilevel"/>
    <w:tmpl w:val="3AB4569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69873B4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 w15:restartNumberingAfterBreak="0">
    <w:nsid w:val="5BDF34C0"/>
    <w:multiLevelType w:val="multilevel"/>
    <w:tmpl w:val="F030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EE64EF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79811BFB"/>
    <w:multiLevelType w:val="multilevel"/>
    <w:tmpl w:val="5290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7"/>
    <w:rsid w:val="00022241"/>
    <w:rsid w:val="00040A70"/>
    <w:rsid w:val="00486A39"/>
    <w:rsid w:val="005F5D81"/>
    <w:rsid w:val="00702C45"/>
    <w:rsid w:val="00704607"/>
    <w:rsid w:val="007D6996"/>
    <w:rsid w:val="00893D42"/>
    <w:rsid w:val="00B02BE2"/>
    <w:rsid w:val="00BB5E87"/>
    <w:rsid w:val="00D343CE"/>
    <w:rsid w:val="00E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BE22"/>
  <w15:chartTrackingRefBased/>
  <w15:docId w15:val="{900C72AF-B4AE-4D08-B08C-6853D632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704607"/>
    <w:pPr>
      <w:keepNext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60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aliases w:val="uvlaka 3,uvlaka 2, uvlaka 3,  uvlaka 2"/>
    <w:basedOn w:val="Normal"/>
    <w:link w:val="BodyTextChar"/>
    <w:rsid w:val="00704607"/>
    <w:pPr>
      <w:jc w:val="both"/>
    </w:pPr>
    <w:rPr>
      <w:sz w:val="24"/>
      <w:lang w:val="hr-HR"/>
    </w:rPr>
  </w:style>
  <w:style w:type="character" w:customStyle="1" w:styleId="BodyTextChar">
    <w:name w:val="Body Text Char"/>
    <w:aliases w:val="uvlaka 3 Char,uvlaka 2 Char, uvlaka 3 Char,  uvlaka 2 Char"/>
    <w:basedOn w:val="DefaultParagraphFont"/>
    <w:link w:val="BodyText"/>
    <w:rsid w:val="0070460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9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69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6996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character" w:styleId="Hyperlink">
    <w:name w:val="Hyperlink"/>
    <w:rsid w:val="007D699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7D6996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rsid w:val="007D6996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styleId="Strong">
    <w:name w:val="Strong"/>
    <w:qFormat/>
    <w:rsid w:val="00702C4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7</cp:revision>
  <dcterms:created xsi:type="dcterms:W3CDTF">2016-03-17T09:11:00Z</dcterms:created>
  <dcterms:modified xsi:type="dcterms:W3CDTF">2020-02-13T09:21:00Z</dcterms:modified>
</cp:coreProperties>
</file>