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68"/>
        <w:gridCol w:w="832"/>
        <w:gridCol w:w="2457"/>
      </w:tblGrid>
      <w:tr w:rsidR="00B02BE2" w:rsidRPr="00507522" w:rsidTr="008204F1">
        <w:trPr>
          <w:trHeight w:val="438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</w:tr>
      <w:tr w:rsidR="00B02BE2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pStyle w:val="Heading1"/>
              <w:rPr>
                <w:caps/>
                <w:color w:val="000000"/>
              </w:rPr>
            </w:pPr>
            <w:r w:rsidRPr="00507522">
              <w:rPr>
                <w:caps/>
                <w:color w:val="000000"/>
              </w:rPr>
              <w:t>MODERNE Eksperimentalne metode fizike u prirodnim znanostima</w:t>
            </w:r>
          </w:p>
        </w:tc>
      </w:tr>
      <w:tr w:rsidR="00B02BE2" w:rsidRPr="00507522" w:rsidTr="008204F1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B02BE2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B02BE2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Modul</w:t>
            </w:r>
            <w:r w:rsidRPr="00507522">
              <w:rPr>
                <w:b/>
                <w:color w:val="000000"/>
                <w:sz w:val="24"/>
                <w:lang w:val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02BE2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D</w:t>
            </w:r>
            <w:r w:rsidR="004846C8">
              <w:rPr>
                <w:color w:val="000000"/>
                <w:sz w:val="24"/>
                <w:lang w:val="hr-HR"/>
              </w:rPr>
              <w:t>oc.d</w:t>
            </w:r>
            <w:r w:rsidRPr="00507522">
              <w:rPr>
                <w:color w:val="000000"/>
                <w:sz w:val="24"/>
                <w:lang w:val="hr-HR"/>
              </w:rPr>
              <w:t xml:space="preserve">r.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 Mile Ivanda</w:t>
            </w:r>
            <w:r>
              <w:rPr>
                <w:color w:val="000000"/>
                <w:sz w:val="24"/>
                <w:lang w:val="hr-HR"/>
              </w:rPr>
              <w:t>, znanstveni savjetnik</w:t>
            </w:r>
            <w:r w:rsidR="00E50728">
              <w:rPr>
                <w:color w:val="000000"/>
                <w:sz w:val="24"/>
                <w:lang w:val="hr-HR"/>
              </w:rPr>
              <w:t xml:space="preserve"> – trajno zvanje</w:t>
            </w:r>
          </w:p>
        </w:tc>
      </w:tr>
      <w:tr w:rsidR="00B02BE2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Institut Ruđer Bošković</w:t>
            </w:r>
          </w:p>
        </w:tc>
      </w:tr>
      <w:tr w:rsidR="00B02BE2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ind w:left="360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r w:rsidRPr="00507522">
              <w:rPr>
                <w:color w:val="000000"/>
                <w:sz w:val="24"/>
                <w:u w:val="single"/>
                <w:lang w:val="hr-HR"/>
              </w:rPr>
              <w:t xml:space="preserve"> x  izborni</w:t>
            </w:r>
          </w:p>
        </w:tc>
      </w:tr>
      <w:tr w:rsidR="00B02BE2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E50728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Godina i semestar u kojem se predmet predaje: 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I.</w:t>
            </w:r>
            <w:r>
              <w:rPr>
                <w:color w:val="000000"/>
                <w:sz w:val="24"/>
                <w:lang w:val="hr-HR"/>
              </w:rPr>
              <w:t xml:space="preserve"> godina, I.</w:t>
            </w:r>
            <w:r w:rsidRPr="00507522">
              <w:rPr>
                <w:color w:val="000000"/>
                <w:sz w:val="24"/>
                <w:lang w:val="hr-HR"/>
              </w:rPr>
              <w:t xml:space="preserve"> semestar </w:t>
            </w:r>
          </w:p>
        </w:tc>
      </w:tr>
      <w:tr w:rsidR="00B02BE2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1194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Savladavanje teorijskih i eksperimentalnih vještina u primjeni modernih eksperimentalnih  metoda fizike u biologiji, kemiji i medicini. Upoznavanje s eksperimentalnim radom na analitičkim metodama koje postoje na IRB-u. Obrada eksperimentalnih podataka modernim računalskim metodama.</w:t>
            </w:r>
          </w:p>
        </w:tc>
      </w:tr>
      <w:tr w:rsidR="00B02BE2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284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Osnove vakuumske fizike. Osnove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niskotemperaturene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fizike. Metode za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depoziciju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tankih filmova. Metode pripreme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praskastih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uzoraka. Sol-gel metoda. Stakla. Keramike. Kompozitni materijali.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Nanomaterijali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Difrakcija x-zrakama. Laseri.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Ramanova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spektroskopija. Infracrvena spektroskopija. Apsorpcijska spektroskopija.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Fotoluminescencija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Florescencija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Fosforescencija.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Elipsometrija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Optička mikroskopija.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Konfokalna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mikroskopija. Transmisijska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pretražna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elektronska mikroskopija.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Pretražna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tunelska mikroskopija (STM). Mikroskopija atomskim silama (AFM).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Pretražna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optička mikroskopija bliskog polja (SNOM). Nuklearna magnetska rezonancija (NMR). Elektronska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paramagnetska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rezonancija (EPR).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Moessbauerova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spektroskopija. Statistička obrada eksperimentalnih podataka. Obrada podataka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softwerskim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paketima: EXCEL, ORIGIN, MATHCAD, STATISTICA, PEAKFIT, J-IMAGE. 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  <w:p w:rsidR="00B02BE2" w:rsidRPr="00CF2560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CF2560">
              <w:rPr>
                <w:color w:val="000000"/>
                <w:sz w:val="24"/>
                <w:lang w:val="hr-HR"/>
              </w:rPr>
              <w:t xml:space="preserve">Vježbe:   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Izrada i javna prezentacija seminarskog rada na jednoj od eksperimentalnih metoda IRB-a. Posjeta laboratorijima IRB-a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dirktno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upoznavanje s eksperimentalnim metodama moderne fizike.</w:t>
            </w:r>
          </w:p>
        </w:tc>
      </w:tr>
      <w:tr w:rsidR="00B02BE2" w:rsidRPr="00507522" w:rsidTr="008204F1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186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 modernim prirodnim znanostima interdisciplinarnost kao i usvajanje modernih eksperimentalnih metoda fizike igraju ključnu ulogu u njihovom razvoju. Kod mladih biologa i medicinara, glavna barijera za usvajanje ovih metoda je kompleksan matematički aparat fizike nužan za njihovo savladavanje. Ovim premetom, uz matematički aparat i predznanje fizike primjereno polaznicima, ove bi se metode usvojile i time omogućile njihovu primjenu u daljnjem znanstvenom radu.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B02BE2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6</w:t>
            </w:r>
          </w:p>
        </w:tc>
      </w:tr>
      <w:tr w:rsidR="00B02BE2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     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B02BE2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B02BE2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B60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036B60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25</w:t>
            </w:r>
          </w:p>
        </w:tc>
      </w:tr>
      <w:tr w:rsidR="00B02BE2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35</w:t>
            </w:r>
          </w:p>
        </w:tc>
      </w:tr>
      <w:tr w:rsidR="00B02BE2" w:rsidRPr="00507522" w:rsidTr="008204F1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B02BE2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CF2560" w:rsidRDefault="00B02BE2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CF2560">
              <w:rPr>
                <w:b/>
                <w:color w:val="000000"/>
                <w:sz w:val="24"/>
                <w:u w:val="single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Samostalni zadaci</w:t>
            </w:r>
          </w:p>
        </w:tc>
      </w:tr>
      <w:tr w:rsidR="00B02BE2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Mentorski rad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B02BE2" w:rsidRPr="00507522" w:rsidTr="008204F1">
        <w:trPr>
          <w:trHeight w:val="657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</w:p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Redovito pohađanje nastave uz mogući opravdani izostanak do 6 sati nastave.</w:t>
            </w:r>
          </w:p>
        </w:tc>
      </w:tr>
      <w:tr w:rsidR="00B02BE2" w:rsidRPr="00507522" w:rsidTr="008204F1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lastRenderedPageBreak/>
              <w:t>Obveze studenata:</w:t>
            </w:r>
          </w:p>
        </w:tc>
      </w:tr>
      <w:tr w:rsidR="00B02BE2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B02BE2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B02BE2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B02BE2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</w:t>
            </w:r>
            <w:r w:rsidRPr="00507522">
              <w:rPr>
                <w:b/>
                <w:color w:val="000000"/>
                <w:sz w:val="24"/>
                <w:lang w:val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B02BE2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B02BE2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507522">
                <w:rPr>
                  <w:color w:val="000000"/>
                  <w:sz w:val="24"/>
                  <w:lang w:val="hr-HR"/>
                </w:rPr>
                <w:t>1. M</w:t>
              </w:r>
            </w:smartTag>
            <w:r w:rsidRPr="00507522">
              <w:rPr>
                <w:color w:val="000000"/>
                <w:sz w:val="24"/>
                <w:lang w:val="hr-HR"/>
              </w:rPr>
              <w:t xml:space="preserve">. Ivanda: </w:t>
            </w:r>
            <w:r w:rsidRPr="00507522">
              <w:rPr>
                <w:b/>
                <w:color w:val="000000"/>
                <w:sz w:val="24"/>
                <w:lang w:val="hr-HR"/>
              </w:rPr>
              <w:t>Moderne eksperimentalne metode fizike u prirodnim znanostima</w:t>
            </w:r>
            <w:r w:rsidRPr="00507522">
              <w:rPr>
                <w:color w:val="000000"/>
                <w:sz w:val="24"/>
                <w:lang w:val="hr-HR"/>
              </w:rPr>
              <w:t>, Skripta u pripremi.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2. Miroslav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Furić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: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Eksperimetalne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metode moderne fizike</w:t>
            </w:r>
            <w:r w:rsidRPr="00507522">
              <w:rPr>
                <w:color w:val="000000"/>
                <w:sz w:val="24"/>
                <w:lang w:val="hr-HR"/>
              </w:rPr>
              <w:t>, Školska knjiga, Zagreb, 1994.</w:t>
            </w:r>
          </w:p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3.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Lecture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Notes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Physics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Nanoscale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Spectroscopy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Its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Applications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to Semiconductor Research</w:t>
            </w:r>
            <w:r w:rsidRPr="00507522">
              <w:rPr>
                <w:color w:val="000000"/>
                <w:sz w:val="24"/>
                <w:lang w:val="hr-HR"/>
              </w:rPr>
              <w:t xml:space="preserve">, 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Eds.Y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Watanabe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S.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Heun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G.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Salviati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N.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Yamamoto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Springer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Verlag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2002,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4.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Physical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Methods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Bioinorganic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Chemistry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–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Spectroscopy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Magnetism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Lawrence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Que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Sausalito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2002.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5.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Nanostruktured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Materials</w:t>
            </w:r>
            <w:r w:rsidRPr="00507522">
              <w:rPr>
                <w:color w:val="000000"/>
                <w:sz w:val="24"/>
                <w:lang w:val="hr-HR"/>
              </w:rPr>
              <w:t xml:space="preserve">, Editor Carl C.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Koch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William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Andrew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Publishing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Norwich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/ New York, 2002.</w:t>
            </w:r>
          </w:p>
          <w:p w:rsidR="00B02BE2" w:rsidRPr="00507522" w:rsidRDefault="00B02BE2" w:rsidP="008204F1">
            <w:pPr>
              <w:autoSpaceDE w:val="0"/>
              <w:autoSpaceDN w:val="0"/>
              <w:adjustRightInd w:val="0"/>
              <w:rPr>
                <w:color w:val="000000"/>
                <w:sz w:val="24"/>
                <w:lang w:val="hr-HR" w:eastAsia="en-US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6. David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Harvey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Modern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Analytic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Chemistry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 w:eastAsia="en-US"/>
              </w:rPr>
              <w:t>McGraw-Hill</w:t>
            </w:r>
            <w:proofErr w:type="spellEnd"/>
            <w:r w:rsidRPr="00507522">
              <w:rPr>
                <w:color w:val="000000"/>
                <w:sz w:val="24"/>
                <w:lang w:val="hr-HR" w:eastAsia="en-US"/>
              </w:rPr>
              <w:t>, New York, 1990.</w:t>
            </w:r>
          </w:p>
        </w:tc>
      </w:tr>
      <w:tr w:rsidR="00B02BE2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186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1.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Hans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Kuzmany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Solid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State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Spectroscopy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–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An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Introduction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Springer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Wien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2002.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2. George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Turrell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Infrared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Raman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Spectra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Crystals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Academic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Press, London, 1972.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3.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Claus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Klingshirn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Semiconductors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Optics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Springer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Berlin, 1997.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4. Frank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J.Blatt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Modern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Physics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McGRAW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-HILL, New York,1992.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5.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Prospects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Nanotehnology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Proceedings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First General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Conference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Nanotechnology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Editors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Krummenacker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J. Lewis,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Wiley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&amp;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Sons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New York /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Chichester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/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Brisbane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/ Toronto/ Singapore, 1995.</w:t>
            </w:r>
          </w:p>
        </w:tc>
      </w:tr>
      <w:tr w:rsidR="00B02BE2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BE2" w:rsidRPr="00507522" w:rsidRDefault="00B02BE2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02BE2" w:rsidRPr="00507522" w:rsidTr="008204F1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2" w:rsidRPr="00507522" w:rsidRDefault="00B02BE2" w:rsidP="00B02BE2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upitnici za ispitivanje stavova korisnika programa </w:t>
            </w:r>
          </w:p>
          <w:p w:rsidR="00B02BE2" w:rsidRPr="00507522" w:rsidRDefault="00B02BE2" w:rsidP="00B02BE2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provjera razumijevanja dobivenih informacija, </w:t>
            </w:r>
          </w:p>
          <w:p w:rsidR="00B02BE2" w:rsidRPr="00507522" w:rsidRDefault="00B02BE2" w:rsidP="00B02BE2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rasprave sa studentima i kolegama,</w:t>
            </w:r>
          </w:p>
          <w:p w:rsidR="00B02BE2" w:rsidRPr="00507522" w:rsidRDefault="00B02BE2" w:rsidP="00B02BE2">
            <w:pPr>
              <w:numPr>
                <w:ilvl w:val="0"/>
                <w:numId w:val="4"/>
              </w:num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praćenje napredovanja svakoga studenta,</w:t>
            </w:r>
          </w:p>
          <w:p w:rsidR="00B02BE2" w:rsidRPr="00507522" w:rsidRDefault="00961702" w:rsidP="00B02BE2">
            <w:pPr>
              <w:numPr>
                <w:ilvl w:val="0"/>
                <w:numId w:val="4"/>
              </w:num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evaluacija uspješnosti predme</w:t>
            </w:r>
            <w:r w:rsidR="00B02BE2" w:rsidRPr="00507522">
              <w:rPr>
                <w:color w:val="000000"/>
                <w:sz w:val="24"/>
                <w:lang w:val="hr-HR"/>
              </w:rPr>
              <w:t>ta svake godine od strane zajedničkog stručnog povjerenstva Instituta Ruđer Bošković, Sveučilišta u Dubrovniku i Sveučilišta u Osijeku”</w:t>
            </w:r>
          </w:p>
          <w:p w:rsidR="00B02BE2" w:rsidRPr="00507522" w:rsidRDefault="00B02BE2" w:rsidP="008204F1">
            <w:pPr>
              <w:rPr>
                <w:color w:val="000000"/>
                <w:sz w:val="24"/>
                <w:lang w:val="hr-HR"/>
              </w:rPr>
            </w:pPr>
          </w:p>
        </w:tc>
      </w:tr>
    </w:tbl>
    <w:p w:rsidR="00022241" w:rsidRPr="00B02BE2" w:rsidRDefault="00022241" w:rsidP="00B02BE2"/>
    <w:sectPr w:rsidR="00022241" w:rsidRPr="00B02BE2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036B60"/>
    <w:rsid w:val="004846C8"/>
    <w:rsid w:val="00702C45"/>
    <w:rsid w:val="00704607"/>
    <w:rsid w:val="007D6996"/>
    <w:rsid w:val="00961702"/>
    <w:rsid w:val="00B02BE2"/>
    <w:rsid w:val="00E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616658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2016-03-17T09:04:00Z</dcterms:created>
  <dcterms:modified xsi:type="dcterms:W3CDTF">2020-02-13T09:19:00Z</dcterms:modified>
</cp:coreProperties>
</file>