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182"/>
        <w:gridCol w:w="521"/>
        <w:gridCol w:w="177"/>
        <w:gridCol w:w="180"/>
        <w:gridCol w:w="719"/>
        <w:gridCol w:w="383"/>
        <w:gridCol w:w="180"/>
        <w:gridCol w:w="157"/>
        <w:gridCol w:w="203"/>
        <w:gridCol w:w="360"/>
        <w:gridCol w:w="157"/>
        <w:gridCol w:w="190"/>
        <w:gridCol w:w="733"/>
        <w:gridCol w:w="63"/>
        <w:gridCol w:w="837"/>
        <w:gridCol w:w="540"/>
        <w:gridCol w:w="68"/>
        <w:gridCol w:w="652"/>
        <w:gridCol w:w="2637"/>
      </w:tblGrid>
      <w:tr w:rsidR="0028187C" w:rsidRPr="00AC698C" w:rsidTr="008204F1">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Šifra predmeta:</w:t>
            </w:r>
          </w:p>
        </w:tc>
        <w:tc>
          <w:tcPr>
            <w:tcW w:w="8236" w:type="dxa"/>
            <w:gridSpan w:val="17"/>
            <w:tcBorders>
              <w:top w:val="single" w:sz="4" w:space="0" w:color="auto"/>
              <w:left w:val="single" w:sz="4" w:space="0" w:color="auto"/>
              <w:bottom w:val="single" w:sz="4" w:space="0" w:color="auto"/>
              <w:right w:val="single" w:sz="4" w:space="0" w:color="auto"/>
            </w:tcBorders>
          </w:tcPr>
          <w:p w:rsidR="0028187C" w:rsidRPr="00AC698C" w:rsidRDefault="0028187C" w:rsidP="008204F1">
            <w:pPr>
              <w:pStyle w:val="Heading1"/>
              <w:rPr>
                <w:color w:val="000000"/>
                <w:szCs w:val="24"/>
              </w:rPr>
            </w:pPr>
            <w:r w:rsidRPr="00AC698C">
              <w:rPr>
                <w:color w:val="000000"/>
                <w:szCs w:val="24"/>
              </w:rPr>
              <w:t>1001</w:t>
            </w:r>
          </w:p>
        </w:tc>
      </w:tr>
      <w:tr w:rsidR="0028187C" w:rsidRPr="00AC698C" w:rsidTr="008204F1">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Naziv predmeta:</w:t>
            </w:r>
          </w:p>
        </w:tc>
        <w:tc>
          <w:tcPr>
            <w:tcW w:w="8236" w:type="dxa"/>
            <w:gridSpan w:val="17"/>
            <w:tcBorders>
              <w:top w:val="single" w:sz="4" w:space="0" w:color="auto"/>
              <w:left w:val="single" w:sz="4" w:space="0" w:color="auto"/>
              <w:bottom w:val="single" w:sz="4" w:space="0" w:color="auto"/>
              <w:right w:val="single" w:sz="4" w:space="0" w:color="auto"/>
            </w:tcBorders>
          </w:tcPr>
          <w:p w:rsidR="0028187C" w:rsidRPr="00AC698C" w:rsidRDefault="0028187C" w:rsidP="008204F1">
            <w:pPr>
              <w:spacing w:before="100"/>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POČELA BIOSTATISTIKE</w:t>
            </w:r>
          </w:p>
        </w:tc>
      </w:tr>
      <w:tr w:rsidR="0028187C" w:rsidRPr="00AC698C" w:rsidTr="008204F1">
        <w:trPr>
          <w:trHeight w:val="311"/>
        </w:trPr>
        <w:tc>
          <w:tcPr>
            <w:tcW w:w="10485" w:type="dxa"/>
            <w:gridSpan w:val="20"/>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OPĆI PODACI:</w:t>
            </w:r>
          </w:p>
        </w:tc>
      </w:tr>
      <w:tr w:rsidR="0028187C" w:rsidRPr="00AC698C" w:rsidTr="008204F1">
        <w:tc>
          <w:tcPr>
            <w:tcW w:w="2606"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Studijski program:</w:t>
            </w:r>
          </w:p>
        </w:tc>
        <w:tc>
          <w:tcPr>
            <w:tcW w:w="7879" w:type="dxa"/>
            <w:gridSpan w:val="15"/>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 xml:space="preserve">Molekularne </w:t>
            </w:r>
            <w:proofErr w:type="spellStart"/>
            <w:r w:rsidRPr="00AC698C">
              <w:rPr>
                <w:rFonts w:ascii="Times New Roman" w:hAnsi="Times New Roman" w:cs="Times New Roman"/>
                <w:b/>
                <w:color w:val="000000"/>
                <w:sz w:val="24"/>
                <w:szCs w:val="24"/>
              </w:rPr>
              <w:t>bioznanosti</w:t>
            </w:r>
            <w:proofErr w:type="spellEnd"/>
          </w:p>
        </w:tc>
      </w:tr>
      <w:tr w:rsidR="0028187C" w:rsidRPr="00AC698C" w:rsidTr="008204F1">
        <w:tc>
          <w:tcPr>
            <w:tcW w:w="2606"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Modul:</w:t>
            </w:r>
          </w:p>
        </w:tc>
        <w:tc>
          <w:tcPr>
            <w:tcW w:w="7879" w:type="dxa"/>
            <w:gridSpan w:val="15"/>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sz w:val="24"/>
                <w:szCs w:val="24"/>
              </w:rPr>
              <w:t>obvezni kolegij</w:t>
            </w:r>
          </w:p>
        </w:tc>
      </w:tr>
      <w:tr w:rsidR="0028187C" w:rsidRPr="00AC698C" w:rsidTr="008204F1">
        <w:tc>
          <w:tcPr>
            <w:tcW w:w="2606"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Nositelj predmeta:</w:t>
            </w:r>
          </w:p>
        </w:tc>
        <w:tc>
          <w:tcPr>
            <w:tcW w:w="7879" w:type="dxa"/>
            <w:gridSpan w:val="15"/>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vertAlign w:val="superscript"/>
              </w:rPr>
            </w:pPr>
            <w:r w:rsidRPr="00AC698C">
              <w:rPr>
                <w:rFonts w:ascii="Times New Roman" w:hAnsi="Times New Roman" w:cs="Times New Roman"/>
                <w:color w:val="000000"/>
                <w:sz w:val="24"/>
                <w:szCs w:val="24"/>
              </w:rPr>
              <w:t>Doc.dr.sc. Domagoj Šimić</w:t>
            </w:r>
            <w:r w:rsidR="00AA5D44" w:rsidRPr="00AC698C">
              <w:rPr>
                <w:rFonts w:ascii="Times New Roman" w:hAnsi="Times New Roman" w:cs="Times New Roman"/>
                <w:color w:val="000000"/>
                <w:sz w:val="24"/>
                <w:szCs w:val="24"/>
              </w:rPr>
              <w:t>, znanstveni savjetnik</w:t>
            </w:r>
            <w:r w:rsidR="00940026">
              <w:rPr>
                <w:rFonts w:ascii="Times New Roman" w:hAnsi="Times New Roman" w:cs="Times New Roman"/>
                <w:color w:val="000000"/>
                <w:sz w:val="24"/>
                <w:szCs w:val="24"/>
              </w:rPr>
              <w:t>-trajno zvanje</w:t>
            </w:r>
            <w:r w:rsidRPr="00AC698C">
              <w:rPr>
                <w:rFonts w:ascii="Times New Roman" w:hAnsi="Times New Roman" w:cs="Times New Roman"/>
                <w:color w:val="000000"/>
                <w:sz w:val="24"/>
                <w:szCs w:val="24"/>
                <w:vertAlign w:val="superscript"/>
              </w:rPr>
              <w:t>1</w:t>
            </w:r>
          </w:p>
          <w:p w:rsidR="0028187C" w:rsidRPr="00AC698C" w:rsidRDefault="0028187C" w:rsidP="008204F1">
            <w:pPr>
              <w:rPr>
                <w:rFonts w:ascii="Times New Roman" w:hAnsi="Times New Roman" w:cs="Times New Roman"/>
                <w:color w:val="000000"/>
                <w:sz w:val="24"/>
                <w:szCs w:val="24"/>
                <w:vertAlign w:val="superscript"/>
              </w:rPr>
            </w:pPr>
            <w:r w:rsidRPr="00AC698C">
              <w:rPr>
                <w:rFonts w:ascii="Times New Roman" w:hAnsi="Times New Roman" w:cs="Times New Roman"/>
                <w:color w:val="000000"/>
                <w:sz w:val="24"/>
                <w:szCs w:val="24"/>
              </w:rPr>
              <w:t>Doc.dr.sc. Andrijana Rebekić</w:t>
            </w:r>
            <w:r w:rsidRPr="00AC698C">
              <w:rPr>
                <w:rFonts w:ascii="Times New Roman" w:hAnsi="Times New Roman" w:cs="Times New Roman"/>
                <w:color w:val="000000"/>
                <w:sz w:val="24"/>
                <w:szCs w:val="24"/>
                <w:vertAlign w:val="superscript"/>
              </w:rPr>
              <w:t>2</w:t>
            </w:r>
          </w:p>
        </w:tc>
      </w:tr>
      <w:tr w:rsidR="0028187C" w:rsidRPr="00AC698C" w:rsidTr="008204F1">
        <w:tc>
          <w:tcPr>
            <w:tcW w:w="3708" w:type="dxa"/>
            <w:gridSpan w:val="7"/>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Ustanova nositelja predmeta:</w:t>
            </w:r>
          </w:p>
        </w:tc>
        <w:tc>
          <w:tcPr>
            <w:tcW w:w="6777" w:type="dxa"/>
            <w:gridSpan w:val="13"/>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vertAlign w:val="superscript"/>
              </w:rPr>
              <w:t>1</w:t>
            </w:r>
            <w:r w:rsidRPr="00AC698C">
              <w:rPr>
                <w:rFonts w:ascii="Times New Roman" w:hAnsi="Times New Roman" w:cs="Times New Roman"/>
                <w:color w:val="000000"/>
                <w:sz w:val="24"/>
                <w:szCs w:val="24"/>
              </w:rPr>
              <w:t>Poljoprivredni institut Osijek</w:t>
            </w:r>
          </w:p>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vertAlign w:val="superscript"/>
              </w:rPr>
              <w:t>2</w:t>
            </w:r>
            <w:r w:rsidR="00977E3C">
              <w:rPr>
                <w:rFonts w:ascii="Times New Roman" w:hAnsi="Times New Roman" w:cs="Times New Roman"/>
                <w:color w:val="000000"/>
                <w:sz w:val="24"/>
                <w:szCs w:val="24"/>
              </w:rPr>
              <w:t xml:space="preserve">Fakultet </w:t>
            </w:r>
            <w:proofErr w:type="spellStart"/>
            <w:r w:rsidR="00977E3C">
              <w:rPr>
                <w:rFonts w:ascii="Times New Roman" w:hAnsi="Times New Roman" w:cs="Times New Roman"/>
                <w:color w:val="000000"/>
                <w:sz w:val="24"/>
                <w:szCs w:val="24"/>
              </w:rPr>
              <w:t>agrobiotehničkih</w:t>
            </w:r>
            <w:proofErr w:type="spellEnd"/>
            <w:r w:rsidR="00977E3C">
              <w:rPr>
                <w:rFonts w:ascii="Times New Roman" w:hAnsi="Times New Roman" w:cs="Times New Roman"/>
                <w:color w:val="000000"/>
                <w:sz w:val="24"/>
                <w:szCs w:val="24"/>
              </w:rPr>
              <w:t xml:space="preserve"> znanosti</w:t>
            </w:r>
            <w:bookmarkStart w:id="0" w:name="_GoBack"/>
            <w:bookmarkEnd w:id="0"/>
            <w:r w:rsidRPr="00AC698C">
              <w:rPr>
                <w:rFonts w:ascii="Times New Roman" w:hAnsi="Times New Roman" w:cs="Times New Roman"/>
                <w:color w:val="000000"/>
                <w:sz w:val="24"/>
                <w:szCs w:val="24"/>
              </w:rPr>
              <w:t>, Sveučilište Josipa Jurja Strossmayera u Osijeku</w:t>
            </w:r>
          </w:p>
        </w:tc>
      </w:tr>
      <w:tr w:rsidR="0028187C" w:rsidRPr="00AC698C" w:rsidTr="008204F1">
        <w:tc>
          <w:tcPr>
            <w:tcW w:w="3708" w:type="dxa"/>
            <w:gridSpan w:val="7"/>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Suradnici – izvoditelji:</w:t>
            </w:r>
          </w:p>
        </w:tc>
        <w:tc>
          <w:tcPr>
            <w:tcW w:w="6777" w:type="dxa"/>
            <w:gridSpan w:val="13"/>
            <w:tcBorders>
              <w:top w:val="single" w:sz="4" w:space="0" w:color="auto"/>
              <w:left w:val="single" w:sz="4" w:space="0" w:color="auto"/>
              <w:bottom w:val="single" w:sz="4" w:space="0" w:color="auto"/>
              <w:right w:val="single" w:sz="4" w:space="0" w:color="auto"/>
            </w:tcBorders>
          </w:tcPr>
          <w:p w:rsidR="0028187C" w:rsidRPr="00AC698C" w:rsidRDefault="0028187C" w:rsidP="008204F1">
            <w:pPr>
              <w:spacing w:before="100"/>
              <w:rPr>
                <w:rFonts w:ascii="Times New Roman" w:hAnsi="Times New Roman" w:cs="Times New Roman"/>
                <w:color w:val="000000"/>
                <w:sz w:val="24"/>
                <w:szCs w:val="24"/>
              </w:rPr>
            </w:pPr>
          </w:p>
        </w:tc>
      </w:tr>
      <w:tr w:rsidR="0028187C" w:rsidRPr="00AC698C" w:rsidTr="008204F1">
        <w:trPr>
          <w:trHeight w:val="180"/>
        </w:trPr>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Status predmeta:</w:t>
            </w:r>
          </w:p>
        </w:tc>
        <w:tc>
          <w:tcPr>
            <w:tcW w:w="8236" w:type="dxa"/>
            <w:gridSpan w:val="17"/>
            <w:tcBorders>
              <w:top w:val="single" w:sz="4" w:space="0" w:color="auto"/>
              <w:left w:val="single" w:sz="4" w:space="0" w:color="auto"/>
              <w:bottom w:val="single" w:sz="4" w:space="0" w:color="auto"/>
              <w:right w:val="single" w:sz="4" w:space="0" w:color="auto"/>
            </w:tcBorders>
          </w:tcPr>
          <w:p w:rsidR="0028187C" w:rsidRPr="00AC698C" w:rsidRDefault="0028187C" w:rsidP="008204F1">
            <w:pPr>
              <w:ind w:left="360"/>
              <w:rPr>
                <w:rFonts w:ascii="Times New Roman" w:hAnsi="Times New Roman" w:cs="Times New Roman"/>
                <w:color w:val="000000"/>
                <w:sz w:val="24"/>
                <w:szCs w:val="24"/>
              </w:rPr>
            </w:pPr>
            <w:r w:rsidRPr="00AC698C">
              <w:rPr>
                <w:rFonts w:ascii="Times New Roman" w:hAnsi="Times New Roman" w:cs="Times New Roman"/>
                <w:b/>
                <w:color w:val="000000"/>
                <w:sz w:val="24"/>
                <w:szCs w:val="24"/>
              </w:rPr>
              <w:t>X  obvezni</w:t>
            </w:r>
            <w:r w:rsidRPr="00AC698C">
              <w:rPr>
                <w:rFonts w:ascii="Times New Roman" w:hAnsi="Times New Roman" w:cs="Times New Roman"/>
                <w:color w:val="000000"/>
                <w:sz w:val="24"/>
                <w:szCs w:val="24"/>
              </w:rPr>
              <w:t xml:space="preserve">                   □  izborni</w:t>
            </w:r>
          </w:p>
        </w:tc>
      </w:tr>
      <w:tr w:rsidR="0028187C" w:rsidRPr="00AC698C" w:rsidTr="008204F1">
        <w:trPr>
          <w:trHeight w:val="266"/>
        </w:trPr>
        <w:tc>
          <w:tcPr>
            <w:tcW w:w="5751" w:type="dxa"/>
            <w:gridSpan w:val="1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b/>
                <w:color w:val="000000"/>
                <w:sz w:val="24"/>
                <w:szCs w:val="24"/>
              </w:rPr>
              <w:t>Godina i semestar u kojem se predmet predaje:</w:t>
            </w:r>
          </w:p>
        </w:tc>
        <w:tc>
          <w:tcPr>
            <w:tcW w:w="4734"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ind w:left="360"/>
              <w:jc w:val="both"/>
              <w:rPr>
                <w:rFonts w:ascii="Times New Roman" w:hAnsi="Times New Roman" w:cs="Times New Roman"/>
                <w:color w:val="000000"/>
                <w:sz w:val="24"/>
                <w:szCs w:val="24"/>
              </w:rPr>
            </w:pPr>
            <w:r w:rsidRPr="00AC698C">
              <w:rPr>
                <w:rFonts w:ascii="Times New Roman" w:hAnsi="Times New Roman" w:cs="Times New Roman"/>
                <w:color w:val="000000"/>
                <w:sz w:val="24"/>
                <w:szCs w:val="24"/>
              </w:rPr>
              <w:t>I. godina, I. semestar</w:t>
            </w:r>
          </w:p>
        </w:tc>
      </w:tr>
      <w:tr w:rsidR="0028187C" w:rsidRPr="00AC698C" w:rsidTr="008204F1">
        <w:trPr>
          <w:trHeight w:val="135"/>
        </w:trPr>
        <w:tc>
          <w:tcPr>
            <w:tcW w:w="2249"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Cilj predmeta:</w:t>
            </w:r>
          </w:p>
        </w:tc>
        <w:tc>
          <w:tcPr>
            <w:tcW w:w="8236" w:type="dxa"/>
            <w:gridSpan w:val="17"/>
            <w:tcBorders>
              <w:top w:val="single" w:sz="4" w:space="0" w:color="auto"/>
              <w:left w:val="single" w:sz="4" w:space="0" w:color="auto"/>
              <w:bottom w:val="nil"/>
              <w:right w:val="single" w:sz="4" w:space="0" w:color="auto"/>
            </w:tcBorders>
          </w:tcPr>
          <w:p w:rsidR="0028187C" w:rsidRPr="00AC698C" w:rsidRDefault="0028187C" w:rsidP="008204F1">
            <w:pPr>
              <w:rPr>
                <w:rFonts w:ascii="Times New Roman" w:hAnsi="Times New Roman" w:cs="Times New Roman"/>
                <w:color w:val="000000"/>
                <w:sz w:val="24"/>
                <w:szCs w:val="24"/>
              </w:rPr>
            </w:pPr>
          </w:p>
        </w:tc>
      </w:tr>
      <w:tr w:rsidR="0028187C" w:rsidRPr="00AC698C" w:rsidTr="008204F1">
        <w:trPr>
          <w:trHeight w:val="1467"/>
        </w:trPr>
        <w:tc>
          <w:tcPr>
            <w:tcW w:w="10485" w:type="dxa"/>
            <w:gridSpan w:val="20"/>
            <w:tcBorders>
              <w:top w:val="nil"/>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Cilj je kolegija naučiti studente (1) temeljnim znanjima o osobitostima statističke obradbe biomedicinskih podataka, (2) kako podatke obraditi samostalno ili u suradnji sa statističarima, tj. kako obaviti obradu podataka u okviru vlastitih znanstvenih istraživanje ili tumačiti </w:t>
            </w:r>
            <w:proofErr w:type="spellStart"/>
            <w:r w:rsidRPr="00AC698C">
              <w:rPr>
                <w:rFonts w:ascii="Times New Roman" w:hAnsi="Times New Roman" w:cs="Times New Roman"/>
                <w:color w:val="000000"/>
                <w:sz w:val="24"/>
                <w:szCs w:val="24"/>
              </w:rPr>
              <w:t>rezulate</w:t>
            </w:r>
            <w:proofErr w:type="spellEnd"/>
            <w:r w:rsidRPr="00AC698C">
              <w:rPr>
                <w:rFonts w:ascii="Times New Roman" w:hAnsi="Times New Roman" w:cs="Times New Roman"/>
                <w:color w:val="000000"/>
                <w:sz w:val="24"/>
                <w:szCs w:val="24"/>
              </w:rPr>
              <w:t xml:space="preserve"> obrade podataka, te (3) kako objaviti rezultate obrade podataka kao sastavni dio rezultata istraživanja i prema kojim pravilima, tj. u kojem dijelu znanstvenoga rada.</w:t>
            </w:r>
          </w:p>
        </w:tc>
      </w:tr>
      <w:tr w:rsidR="0028187C" w:rsidRPr="00AC698C" w:rsidTr="008204F1">
        <w:trPr>
          <w:trHeight w:val="135"/>
        </w:trPr>
        <w:tc>
          <w:tcPr>
            <w:tcW w:w="2426" w:type="dxa"/>
            <w:gridSpan w:val="4"/>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Sadržaj predmeta:</w:t>
            </w:r>
          </w:p>
        </w:tc>
        <w:tc>
          <w:tcPr>
            <w:tcW w:w="8059" w:type="dxa"/>
            <w:gridSpan w:val="16"/>
            <w:tcBorders>
              <w:top w:val="single" w:sz="4" w:space="0" w:color="auto"/>
              <w:left w:val="single" w:sz="4" w:space="0" w:color="auto"/>
              <w:bottom w:val="nil"/>
              <w:right w:val="single" w:sz="4" w:space="0" w:color="auto"/>
            </w:tcBorders>
          </w:tcPr>
          <w:p w:rsidR="0028187C" w:rsidRPr="00AC698C" w:rsidRDefault="0028187C" w:rsidP="008204F1">
            <w:pPr>
              <w:rPr>
                <w:rFonts w:ascii="Times New Roman" w:hAnsi="Times New Roman" w:cs="Times New Roman"/>
                <w:color w:val="000000"/>
                <w:sz w:val="24"/>
                <w:szCs w:val="24"/>
              </w:rPr>
            </w:pPr>
          </w:p>
        </w:tc>
      </w:tr>
      <w:tr w:rsidR="0028187C" w:rsidRPr="00AC698C" w:rsidTr="008204F1">
        <w:trPr>
          <w:trHeight w:val="2842"/>
        </w:trPr>
        <w:tc>
          <w:tcPr>
            <w:tcW w:w="10485" w:type="dxa"/>
            <w:gridSpan w:val="20"/>
            <w:tcBorders>
              <w:top w:val="nil"/>
              <w:left w:val="single" w:sz="4" w:space="0" w:color="auto"/>
              <w:bottom w:val="single" w:sz="4" w:space="0" w:color="auto"/>
              <w:right w:val="single" w:sz="4" w:space="0" w:color="auto"/>
            </w:tcBorders>
          </w:tcPr>
          <w:p w:rsidR="0028187C" w:rsidRPr="00AC698C" w:rsidRDefault="0028187C" w:rsidP="008204F1">
            <w:pPr>
              <w:spacing w:before="100"/>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Statistička metodologija obradbe biomedicinskih podataka u tijeku znanstvenog istraživanja: vrste kliničkih istraživanja, uzorak i populacija, raspodjela podataka, prikupljanje, vrste i opis podataka, mjerne ljestvice, pregled deskriptivnih statističkih pokazatelja (mjere centralne tendencije i rasapa), statistička hipoteza i zaključivanje, usporedba vrijednosti između dvaju ili više skupina, proporcije, raščlamba nepotpuno praćenih podataka i krivulje </w:t>
            </w:r>
            <w:proofErr w:type="spellStart"/>
            <w:r w:rsidRPr="00AC698C">
              <w:rPr>
                <w:rFonts w:ascii="Times New Roman" w:hAnsi="Times New Roman" w:cs="Times New Roman"/>
                <w:color w:val="000000"/>
                <w:sz w:val="24"/>
                <w:szCs w:val="24"/>
              </w:rPr>
              <w:t>preživljenja</w:t>
            </w:r>
            <w:proofErr w:type="spellEnd"/>
            <w:r w:rsidRPr="00AC698C">
              <w:rPr>
                <w:rFonts w:ascii="Times New Roman" w:hAnsi="Times New Roman" w:cs="Times New Roman"/>
                <w:color w:val="000000"/>
                <w:sz w:val="24"/>
                <w:szCs w:val="24"/>
              </w:rPr>
              <w:t>, veličina uzorka, snaga testa, korelacije i regresija (</w:t>
            </w:r>
            <w:proofErr w:type="spellStart"/>
            <w:r w:rsidRPr="00AC698C">
              <w:rPr>
                <w:rFonts w:ascii="Times New Roman" w:hAnsi="Times New Roman" w:cs="Times New Roman"/>
                <w:color w:val="000000"/>
                <w:sz w:val="24"/>
                <w:szCs w:val="24"/>
              </w:rPr>
              <w:t>multivarijatna</w:t>
            </w:r>
            <w:proofErr w:type="spellEnd"/>
            <w:r w:rsidRPr="00AC698C">
              <w:rPr>
                <w:rFonts w:ascii="Times New Roman" w:hAnsi="Times New Roman" w:cs="Times New Roman"/>
                <w:color w:val="000000"/>
                <w:sz w:val="24"/>
                <w:szCs w:val="24"/>
              </w:rPr>
              <w:t xml:space="preserve"> regresija, logistička regresija i </w:t>
            </w:r>
            <w:proofErr w:type="spellStart"/>
            <w:r w:rsidRPr="00AC698C">
              <w:rPr>
                <w:rFonts w:ascii="Times New Roman" w:hAnsi="Times New Roman" w:cs="Times New Roman"/>
                <w:color w:val="000000"/>
                <w:sz w:val="24"/>
                <w:szCs w:val="24"/>
              </w:rPr>
              <w:t>Coxov</w:t>
            </w:r>
            <w:proofErr w:type="spellEnd"/>
            <w:r w:rsidRPr="00AC698C">
              <w:rPr>
                <w:rFonts w:ascii="Times New Roman" w:hAnsi="Times New Roman" w:cs="Times New Roman"/>
                <w:color w:val="000000"/>
                <w:sz w:val="24"/>
                <w:szCs w:val="24"/>
              </w:rPr>
              <w:t xml:space="preserve"> regresijski test), raščlamba karakteristika rada prijamnika (engl. ROC analiza). Informatički pregled, prikaz i vježbanje načina uporabe tipičnog računalnog programa za statističku obradbu biomedicinskih podataka: zadavanje osobina pokazatelja, upis podataka, pohrana i prijenos podataka iz jednoga u drugi oblik zapisa. oblikovanje ispisa rezultata obradbe, prijenos rezultata u tablične ili grafičke oblike znanstvenog izvješća.</w:t>
            </w:r>
          </w:p>
        </w:tc>
      </w:tr>
      <w:tr w:rsidR="0028187C" w:rsidRPr="00AC698C" w:rsidTr="008204F1">
        <w:trPr>
          <w:trHeight w:val="135"/>
        </w:trPr>
        <w:tc>
          <w:tcPr>
            <w:tcW w:w="7196" w:type="dxa"/>
            <w:gridSpan w:val="18"/>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Ishodi učenja: kompetencije, znanje, vještine koje predmet razvija</w:t>
            </w:r>
          </w:p>
        </w:tc>
        <w:tc>
          <w:tcPr>
            <w:tcW w:w="3289" w:type="dxa"/>
            <w:gridSpan w:val="2"/>
            <w:tcBorders>
              <w:top w:val="single" w:sz="4" w:space="0" w:color="auto"/>
              <w:left w:val="single" w:sz="4" w:space="0" w:color="auto"/>
              <w:bottom w:val="nil"/>
              <w:right w:val="single" w:sz="4" w:space="0" w:color="auto"/>
            </w:tcBorders>
          </w:tcPr>
          <w:p w:rsidR="0028187C" w:rsidRPr="00AC698C" w:rsidRDefault="0028187C" w:rsidP="008204F1">
            <w:pPr>
              <w:rPr>
                <w:rFonts w:ascii="Times New Roman" w:hAnsi="Times New Roman" w:cs="Times New Roman"/>
                <w:color w:val="000000"/>
                <w:sz w:val="24"/>
                <w:szCs w:val="24"/>
              </w:rPr>
            </w:pPr>
          </w:p>
        </w:tc>
      </w:tr>
      <w:tr w:rsidR="0028187C" w:rsidRPr="00AC698C" w:rsidTr="008204F1">
        <w:trPr>
          <w:trHeight w:val="1486"/>
        </w:trPr>
        <w:tc>
          <w:tcPr>
            <w:tcW w:w="10485" w:type="dxa"/>
            <w:gridSpan w:val="20"/>
            <w:tcBorders>
              <w:top w:val="nil"/>
              <w:left w:val="single" w:sz="4" w:space="0" w:color="auto"/>
              <w:bottom w:val="single" w:sz="4" w:space="0" w:color="auto"/>
              <w:right w:val="single" w:sz="4" w:space="0" w:color="auto"/>
            </w:tcBorders>
          </w:tcPr>
          <w:p w:rsidR="000D1C20" w:rsidRPr="00AC698C" w:rsidRDefault="000D1C20" w:rsidP="000D1C20">
            <w:pPr>
              <w:spacing w:after="0" w:line="240" w:lineRule="auto"/>
              <w:rPr>
                <w:rFonts w:ascii="Times New Roman" w:hAnsi="Times New Roman" w:cs="Times New Roman"/>
                <w:color w:val="000000"/>
                <w:sz w:val="24"/>
                <w:szCs w:val="24"/>
              </w:rPr>
            </w:pPr>
            <w:r w:rsidRPr="00AC698C">
              <w:rPr>
                <w:rFonts w:ascii="Times New Roman" w:hAnsi="Times New Roman" w:cs="Times New Roman"/>
                <w:color w:val="000000"/>
                <w:sz w:val="24"/>
                <w:szCs w:val="24"/>
              </w:rPr>
              <w:t>Nakon odslušanog kolegija student će:</w:t>
            </w:r>
          </w:p>
          <w:p w:rsidR="000D1C20" w:rsidRPr="00AC698C" w:rsidRDefault="000D1C20" w:rsidP="000D1C20">
            <w:pPr>
              <w:spacing w:after="0" w:line="240" w:lineRule="auto"/>
              <w:rPr>
                <w:rFonts w:ascii="Times New Roman" w:hAnsi="Times New Roman" w:cs="Times New Roman"/>
                <w:color w:val="000000"/>
                <w:sz w:val="24"/>
                <w:szCs w:val="24"/>
              </w:rPr>
            </w:pPr>
            <w:r w:rsidRPr="00AC698C">
              <w:rPr>
                <w:rFonts w:ascii="Times New Roman" w:hAnsi="Times New Roman" w:cs="Times New Roman"/>
                <w:color w:val="000000"/>
                <w:sz w:val="24"/>
                <w:szCs w:val="24"/>
              </w:rPr>
              <w:t>- razumjeti čitati izvješća o provedenoj obradbi podataka</w:t>
            </w:r>
          </w:p>
          <w:p w:rsidR="000D1C20" w:rsidRPr="00AC698C" w:rsidRDefault="000D1C20" w:rsidP="000D1C20">
            <w:pPr>
              <w:spacing w:after="0" w:line="240" w:lineRule="auto"/>
              <w:rPr>
                <w:rFonts w:ascii="Times New Roman" w:hAnsi="Times New Roman" w:cs="Times New Roman"/>
                <w:color w:val="000000"/>
                <w:sz w:val="24"/>
                <w:szCs w:val="24"/>
              </w:rPr>
            </w:pPr>
            <w:r w:rsidRPr="00AC698C">
              <w:rPr>
                <w:rFonts w:ascii="Times New Roman" w:hAnsi="Times New Roman" w:cs="Times New Roman"/>
                <w:color w:val="000000"/>
                <w:sz w:val="24"/>
                <w:szCs w:val="24"/>
              </w:rPr>
              <w:t>- biti osposobljen provesti statističku obradbu podataka</w:t>
            </w:r>
          </w:p>
          <w:p w:rsidR="000D1C20" w:rsidRPr="00AC698C" w:rsidRDefault="000D1C20" w:rsidP="000D1C20">
            <w:pPr>
              <w:spacing w:after="0" w:line="240" w:lineRule="auto"/>
              <w:rPr>
                <w:rFonts w:ascii="Times New Roman" w:hAnsi="Times New Roman" w:cs="Times New Roman"/>
                <w:color w:val="000000"/>
                <w:sz w:val="24"/>
                <w:szCs w:val="24"/>
              </w:rPr>
            </w:pPr>
            <w:r w:rsidRPr="00AC698C">
              <w:rPr>
                <w:rFonts w:ascii="Times New Roman" w:hAnsi="Times New Roman" w:cs="Times New Roman"/>
                <w:color w:val="000000"/>
                <w:sz w:val="24"/>
                <w:szCs w:val="24"/>
              </w:rPr>
              <w:t>- samostalno koristiti računalne programe za statističku obradbu</w:t>
            </w:r>
          </w:p>
          <w:p w:rsidR="000D1C20" w:rsidRPr="00AC698C" w:rsidRDefault="000D1C20" w:rsidP="000D1C20">
            <w:pPr>
              <w:spacing w:after="0" w:line="240" w:lineRule="auto"/>
              <w:rPr>
                <w:rFonts w:ascii="Times New Roman" w:hAnsi="Times New Roman" w:cs="Times New Roman"/>
                <w:color w:val="000000"/>
                <w:sz w:val="24"/>
                <w:szCs w:val="24"/>
              </w:rPr>
            </w:pPr>
            <w:r w:rsidRPr="00AC698C">
              <w:rPr>
                <w:rFonts w:ascii="Times New Roman" w:hAnsi="Times New Roman" w:cs="Times New Roman"/>
                <w:color w:val="000000"/>
                <w:sz w:val="24"/>
                <w:szCs w:val="24"/>
              </w:rPr>
              <w:t>- samostalno oblikovati i tumačiti izvješća obradbe podataka</w:t>
            </w:r>
          </w:p>
          <w:p w:rsidR="0028187C" w:rsidRPr="00AC698C" w:rsidRDefault="000D1C20" w:rsidP="000D1C20">
            <w:pPr>
              <w:spacing w:after="0" w:line="240" w:lineRule="auto"/>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 samostalno komunicirati sa znanstvenicima na temu statističke raščlambe </w:t>
            </w:r>
          </w:p>
          <w:p w:rsidR="000D1C20" w:rsidRPr="00AC698C" w:rsidRDefault="000D1C20" w:rsidP="000D1C20">
            <w:pPr>
              <w:spacing w:after="0" w:line="240" w:lineRule="auto"/>
              <w:rPr>
                <w:rFonts w:ascii="Times New Roman" w:hAnsi="Times New Roman" w:cs="Times New Roman"/>
                <w:color w:val="000000"/>
                <w:sz w:val="24"/>
                <w:szCs w:val="24"/>
              </w:rPr>
            </w:pPr>
          </w:p>
        </w:tc>
      </w:tr>
      <w:tr w:rsidR="0028187C" w:rsidRPr="00AC698C" w:rsidTr="008204F1">
        <w:trPr>
          <w:trHeight w:val="135"/>
        </w:trPr>
        <w:tc>
          <w:tcPr>
            <w:tcW w:w="10485" w:type="dxa"/>
            <w:gridSpan w:val="20"/>
            <w:tcBorders>
              <w:top w:val="single" w:sz="4" w:space="0" w:color="auto"/>
              <w:left w:val="single" w:sz="4" w:space="0" w:color="auto"/>
              <w:bottom w:val="single" w:sz="4" w:space="0" w:color="auto"/>
              <w:right w:val="single" w:sz="4" w:space="0" w:color="auto"/>
            </w:tcBorders>
            <w:shd w:val="clear" w:color="auto" w:fill="C0C0C0"/>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b/>
                <w:color w:val="000000"/>
                <w:sz w:val="24"/>
                <w:szCs w:val="24"/>
              </w:rPr>
              <w:t>Satnica, način izvedbe i ECTS koeficijent opterećenja studenta</w:t>
            </w:r>
          </w:p>
        </w:tc>
      </w:tr>
      <w:tr w:rsidR="0028187C" w:rsidRPr="00AC698C" w:rsidTr="008204F1">
        <w:tc>
          <w:tcPr>
            <w:tcW w:w="4045" w:type="dxa"/>
            <w:gridSpan w:val="9"/>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ECTS bodovi</w:t>
            </w:r>
          </w:p>
        </w:tc>
        <w:tc>
          <w:tcPr>
            <w:tcW w:w="6440" w:type="dxa"/>
            <w:gridSpan w:val="11"/>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rPr>
              <w:t>4</w:t>
            </w:r>
          </w:p>
        </w:tc>
      </w:tr>
      <w:tr w:rsidR="0028187C" w:rsidRPr="00AC698C" w:rsidTr="008204F1">
        <w:trPr>
          <w:cantSplit/>
        </w:trPr>
        <w:tc>
          <w:tcPr>
            <w:tcW w:w="2426"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lastRenderedPageBreak/>
              <w:t xml:space="preserve">Broj sati </w:t>
            </w: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rPr>
              <w:t>Predavanja</w:t>
            </w:r>
          </w:p>
        </w:tc>
        <w:tc>
          <w:tcPr>
            <w:tcW w:w="6440" w:type="dxa"/>
            <w:gridSpan w:val="11"/>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  5</w:t>
            </w:r>
          </w:p>
        </w:tc>
      </w:tr>
      <w:tr w:rsidR="0028187C" w:rsidRPr="00AC698C" w:rsidTr="008204F1">
        <w:trPr>
          <w:cantSplit/>
        </w:trPr>
        <w:tc>
          <w:tcPr>
            <w:tcW w:w="2426" w:type="dxa"/>
            <w:gridSpan w:val="4"/>
            <w:vMerge/>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rPr>
              <w:t>Seminari</w:t>
            </w:r>
          </w:p>
        </w:tc>
        <w:tc>
          <w:tcPr>
            <w:tcW w:w="6440" w:type="dxa"/>
            <w:gridSpan w:val="11"/>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  5</w:t>
            </w:r>
          </w:p>
        </w:tc>
      </w:tr>
      <w:tr w:rsidR="0028187C" w:rsidRPr="00AC698C" w:rsidTr="008204F1">
        <w:trPr>
          <w:cantSplit/>
        </w:trPr>
        <w:tc>
          <w:tcPr>
            <w:tcW w:w="2426" w:type="dxa"/>
            <w:gridSpan w:val="4"/>
            <w:vMerge/>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rPr>
              <w:t>Vježbe</w:t>
            </w:r>
          </w:p>
        </w:tc>
        <w:tc>
          <w:tcPr>
            <w:tcW w:w="6440" w:type="dxa"/>
            <w:gridSpan w:val="11"/>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r w:rsidRPr="00AC698C">
              <w:rPr>
                <w:rFonts w:ascii="Times New Roman" w:hAnsi="Times New Roman" w:cs="Times New Roman"/>
                <w:color w:val="000000"/>
                <w:sz w:val="24"/>
                <w:szCs w:val="24"/>
              </w:rPr>
              <w:t>15</w:t>
            </w:r>
          </w:p>
        </w:tc>
      </w:tr>
      <w:tr w:rsidR="0028187C" w:rsidRPr="00AC698C" w:rsidTr="008204F1">
        <w:trPr>
          <w:cantSplit/>
        </w:trPr>
        <w:tc>
          <w:tcPr>
            <w:tcW w:w="2426" w:type="dxa"/>
            <w:gridSpan w:val="4"/>
            <w:vMerge/>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color w:val="000000"/>
                <w:sz w:val="24"/>
                <w:szCs w:val="24"/>
              </w:rPr>
            </w:pPr>
          </w:p>
        </w:tc>
        <w:tc>
          <w:tcPr>
            <w:tcW w:w="1619"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Ukupno</w:t>
            </w:r>
          </w:p>
        </w:tc>
        <w:tc>
          <w:tcPr>
            <w:tcW w:w="6440" w:type="dxa"/>
            <w:gridSpan w:val="11"/>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25</w:t>
            </w:r>
          </w:p>
        </w:tc>
      </w:tr>
      <w:tr w:rsidR="0028187C" w:rsidRPr="00AC698C" w:rsidTr="008204F1">
        <w:trPr>
          <w:trHeight w:val="302"/>
        </w:trPr>
        <w:tc>
          <w:tcPr>
            <w:tcW w:w="10485" w:type="dxa"/>
            <w:gridSpan w:val="20"/>
            <w:tcBorders>
              <w:top w:val="single" w:sz="4" w:space="0" w:color="auto"/>
              <w:left w:val="single" w:sz="4" w:space="0" w:color="auto"/>
              <w:bottom w:val="single" w:sz="4" w:space="0" w:color="auto"/>
              <w:right w:val="single" w:sz="4" w:space="0" w:color="auto"/>
            </w:tcBorders>
            <w:shd w:val="clear" w:color="auto" w:fill="C0C0C0"/>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NAČIN IZVOĐENJA NASTAVE I USVAJANJA ZNANJA</w:t>
            </w:r>
          </w:p>
        </w:tc>
      </w:tr>
      <w:tr w:rsidR="0028187C" w:rsidRPr="00AC698C" w:rsidTr="008204F1">
        <w:tc>
          <w:tcPr>
            <w:tcW w:w="1546" w:type="dxa"/>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Predavanja</w:t>
            </w:r>
          </w:p>
        </w:tc>
        <w:tc>
          <w:tcPr>
            <w:tcW w:w="1779"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Seminari</w:t>
            </w:r>
          </w:p>
        </w:tc>
        <w:tc>
          <w:tcPr>
            <w:tcW w:w="1440" w:type="dxa"/>
            <w:gridSpan w:val="6"/>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Vježbe</w:t>
            </w:r>
          </w:p>
        </w:tc>
        <w:tc>
          <w:tcPr>
            <w:tcW w:w="1823" w:type="dxa"/>
            <w:gridSpan w:val="4"/>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Radionice</w:t>
            </w:r>
          </w:p>
        </w:tc>
        <w:tc>
          <w:tcPr>
            <w:tcW w:w="3897" w:type="dxa"/>
            <w:gridSpan w:val="4"/>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b/>
                <w:color w:val="000000"/>
                <w:sz w:val="24"/>
                <w:szCs w:val="24"/>
              </w:rPr>
              <w:t>Samostalni</w:t>
            </w:r>
            <w:r w:rsidRPr="00AC698C">
              <w:rPr>
                <w:rFonts w:ascii="Times New Roman" w:hAnsi="Times New Roman" w:cs="Times New Roman"/>
                <w:color w:val="000000"/>
                <w:sz w:val="24"/>
                <w:szCs w:val="24"/>
              </w:rPr>
              <w:t xml:space="preserve"> </w:t>
            </w:r>
            <w:r w:rsidRPr="00AC698C">
              <w:rPr>
                <w:rFonts w:ascii="Times New Roman" w:hAnsi="Times New Roman" w:cs="Times New Roman"/>
                <w:b/>
                <w:color w:val="000000"/>
                <w:sz w:val="24"/>
                <w:szCs w:val="24"/>
              </w:rPr>
              <w:t>zadaci</w:t>
            </w:r>
          </w:p>
        </w:tc>
      </w:tr>
      <w:tr w:rsidR="0028187C" w:rsidRPr="00AC698C" w:rsidTr="008204F1">
        <w:tc>
          <w:tcPr>
            <w:tcW w:w="1546" w:type="dxa"/>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Multimedija i internet</w:t>
            </w:r>
          </w:p>
        </w:tc>
        <w:tc>
          <w:tcPr>
            <w:tcW w:w="1779" w:type="dxa"/>
            <w:gridSpan w:val="5"/>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Obrazovanje na daljinu</w:t>
            </w:r>
          </w:p>
        </w:tc>
        <w:tc>
          <w:tcPr>
            <w:tcW w:w="1630" w:type="dxa"/>
            <w:gridSpan w:val="7"/>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Konzultacije</w:t>
            </w:r>
          </w:p>
        </w:tc>
        <w:tc>
          <w:tcPr>
            <w:tcW w:w="1633"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Rad u laboratoriju</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Mentorski rad</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Terenska nastava</w:t>
            </w:r>
          </w:p>
        </w:tc>
      </w:tr>
      <w:tr w:rsidR="0028187C" w:rsidRPr="00AC698C" w:rsidTr="008204F1">
        <w:trPr>
          <w:trHeight w:val="869"/>
        </w:trPr>
        <w:tc>
          <w:tcPr>
            <w:tcW w:w="10485" w:type="dxa"/>
            <w:gridSpan w:val="20"/>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Napomene:</w:t>
            </w:r>
            <w:r w:rsidRPr="00AC698C">
              <w:rPr>
                <w:rFonts w:ascii="Times New Roman" w:hAnsi="Times New Roman" w:cs="Times New Roman"/>
                <w:color w:val="000000"/>
                <w:sz w:val="24"/>
                <w:szCs w:val="24"/>
              </w:rPr>
              <w:t xml:space="preserve"> osim uvodnoga predavanja i jednog trosatnog seminara se sva ostala nastava obavlja tako da svaki student radi na jednom računalu, sasvim samostalno, korištenjem programa za statističku obradbu podataka. Sva nastava događa se kroz rješavanje problema (zadataka).</w:t>
            </w:r>
          </w:p>
        </w:tc>
      </w:tr>
      <w:tr w:rsidR="0028187C" w:rsidRPr="00AC698C" w:rsidTr="008204F1">
        <w:trPr>
          <w:trHeight w:val="695"/>
        </w:trPr>
        <w:tc>
          <w:tcPr>
            <w:tcW w:w="10485" w:type="dxa"/>
            <w:gridSpan w:val="20"/>
            <w:tcBorders>
              <w:top w:val="single" w:sz="4" w:space="0" w:color="auto"/>
              <w:left w:val="single" w:sz="4" w:space="0" w:color="auto"/>
              <w:bottom w:val="single" w:sz="4" w:space="0" w:color="auto"/>
              <w:right w:val="single" w:sz="4" w:space="0" w:color="auto"/>
            </w:tcBorders>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Obveze studenata:</w:t>
            </w:r>
            <w:r w:rsidRPr="00AC698C">
              <w:rPr>
                <w:rFonts w:ascii="Times New Roman" w:hAnsi="Times New Roman" w:cs="Times New Roman"/>
                <w:color w:val="000000"/>
                <w:sz w:val="24"/>
                <w:szCs w:val="24"/>
              </w:rPr>
              <w:t xml:space="preserve"> redovito pohađanje nastave.</w:t>
            </w:r>
          </w:p>
        </w:tc>
      </w:tr>
      <w:tr w:rsidR="0028187C" w:rsidRPr="00AC698C" w:rsidTr="008204F1">
        <w:tc>
          <w:tcPr>
            <w:tcW w:w="10485" w:type="dxa"/>
            <w:gridSpan w:val="20"/>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Praćenje i ocjenjivanje studenata (označiti masnim tiskom samo relevantne kategorije)</w:t>
            </w:r>
          </w:p>
        </w:tc>
      </w:tr>
      <w:tr w:rsidR="0028187C" w:rsidRPr="00AC698C" w:rsidTr="008204F1">
        <w:tc>
          <w:tcPr>
            <w:tcW w:w="2426" w:type="dxa"/>
            <w:gridSpan w:val="4"/>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Pohađanje nastave</w:t>
            </w:r>
          </w:p>
        </w:tc>
        <w:tc>
          <w:tcPr>
            <w:tcW w:w="2182" w:type="dxa"/>
            <w:gridSpan w:val="7"/>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Aktivnosti u nastavi</w:t>
            </w:r>
          </w:p>
        </w:tc>
        <w:tc>
          <w:tcPr>
            <w:tcW w:w="2520" w:type="dxa"/>
            <w:gridSpan w:val="6"/>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Obvezan seminarski rad</w:t>
            </w:r>
          </w:p>
        </w:tc>
        <w:tc>
          <w:tcPr>
            <w:tcW w:w="3357"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 xml:space="preserve">Vježba ili </w:t>
            </w:r>
            <w:proofErr w:type="spellStart"/>
            <w:r w:rsidRPr="00AC698C">
              <w:rPr>
                <w:rFonts w:ascii="Times New Roman" w:hAnsi="Times New Roman" w:cs="Times New Roman"/>
                <w:b/>
                <w:color w:val="000000"/>
                <w:sz w:val="24"/>
                <w:szCs w:val="24"/>
              </w:rPr>
              <w:t>case</w:t>
            </w:r>
            <w:proofErr w:type="spellEnd"/>
            <w:r w:rsidRPr="00AC698C">
              <w:rPr>
                <w:rFonts w:ascii="Times New Roman" w:hAnsi="Times New Roman" w:cs="Times New Roman"/>
                <w:b/>
                <w:color w:val="000000"/>
                <w:sz w:val="24"/>
                <w:szCs w:val="24"/>
              </w:rPr>
              <w:t xml:space="preserve"> </w:t>
            </w:r>
            <w:proofErr w:type="spellStart"/>
            <w:r w:rsidRPr="00AC698C">
              <w:rPr>
                <w:rFonts w:ascii="Times New Roman" w:hAnsi="Times New Roman" w:cs="Times New Roman"/>
                <w:b/>
                <w:color w:val="000000"/>
                <w:sz w:val="24"/>
                <w:szCs w:val="24"/>
              </w:rPr>
              <w:t>study</w:t>
            </w:r>
            <w:proofErr w:type="spellEnd"/>
          </w:p>
        </w:tc>
      </w:tr>
      <w:tr w:rsidR="0028187C" w:rsidRPr="00AC698C" w:rsidTr="008204F1">
        <w:tc>
          <w:tcPr>
            <w:tcW w:w="10485" w:type="dxa"/>
            <w:gridSpan w:val="20"/>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Način ocjenjivanja:</w:t>
            </w:r>
          </w:p>
        </w:tc>
      </w:tr>
      <w:tr w:rsidR="0028187C" w:rsidRPr="00AC698C" w:rsidTr="008204F1">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Pismeni ispit</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Usmeni ispit</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Esej/Seminar</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Prikaz slučaja</w:t>
            </w:r>
          </w:p>
        </w:tc>
        <w:tc>
          <w:tcPr>
            <w:tcW w:w="3357"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Analiza objavljene publikacije</w:t>
            </w:r>
          </w:p>
        </w:tc>
      </w:tr>
      <w:tr w:rsidR="0028187C" w:rsidRPr="00AC698C" w:rsidTr="008204F1">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Projekt</w:t>
            </w:r>
          </w:p>
        </w:tc>
        <w:tc>
          <w:tcPr>
            <w:tcW w:w="3960" w:type="dxa"/>
            <w:gridSpan w:val="12"/>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Kontinuirana provjera znanja u tijeku nastave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color w:val="000000"/>
                <w:sz w:val="24"/>
                <w:szCs w:val="24"/>
              </w:rPr>
            </w:pPr>
            <w:r w:rsidRPr="00AC698C">
              <w:rPr>
                <w:rFonts w:ascii="Times New Roman" w:hAnsi="Times New Roman" w:cs="Times New Roman"/>
                <w:color w:val="000000"/>
                <w:sz w:val="24"/>
                <w:szCs w:val="24"/>
              </w:rPr>
              <w:t>Prezentacija</w:t>
            </w:r>
          </w:p>
        </w:tc>
        <w:tc>
          <w:tcPr>
            <w:tcW w:w="3357" w:type="dxa"/>
            <w:gridSpan w:val="3"/>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jc w:val="cente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Praktičan rad</w:t>
            </w:r>
          </w:p>
        </w:tc>
      </w:tr>
      <w:tr w:rsidR="0028187C" w:rsidRPr="00AC698C" w:rsidTr="008204F1">
        <w:tc>
          <w:tcPr>
            <w:tcW w:w="2426" w:type="dxa"/>
            <w:gridSpan w:val="4"/>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Obvezna literatura:</w:t>
            </w:r>
          </w:p>
        </w:tc>
        <w:tc>
          <w:tcPr>
            <w:tcW w:w="8059" w:type="dxa"/>
            <w:gridSpan w:val="16"/>
            <w:tcBorders>
              <w:top w:val="single" w:sz="4" w:space="0" w:color="auto"/>
              <w:left w:val="single" w:sz="4" w:space="0" w:color="auto"/>
              <w:bottom w:val="nil"/>
              <w:right w:val="single" w:sz="4" w:space="0" w:color="auto"/>
            </w:tcBorders>
          </w:tcPr>
          <w:p w:rsidR="0028187C" w:rsidRPr="00AC698C" w:rsidRDefault="0028187C" w:rsidP="008204F1">
            <w:pPr>
              <w:rPr>
                <w:rFonts w:ascii="Times New Roman" w:hAnsi="Times New Roman" w:cs="Times New Roman"/>
                <w:color w:val="000000"/>
                <w:sz w:val="24"/>
                <w:szCs w:val="24"/>
              </w:rPr>
            </w:pPr>
          </w:p>
        </w:tc>
      </w:tr>
      <w:tr w:rsidR="0028187C" w:rsidRPr="00AC698C" w:rsidTr="008204F1">
        <w:trPr>
          <w:trHeight w:val="977"/>
        </w:trPr>
        <w:tc>
          <w:tcPr>
            <w:tcW w:w="10485" w:type="dxa"/>
            <w:gridSpan w:val="20"/>
            <w:tcBorders>
              <w:top w:val="nil"/>
              <w:left w:val="single" w:sz="4" w:space="0" w:color="auto"/>
              <w:bottom w:val="single" w:sz="4" w:space="0" w:color="auto"/>
              <w:right w:val="single" w:sz="4" w:space="0" w:color="auto"/>
            </w:tcBorders>
          </w:tcPr>
          <w:p w:rsidR="0028187C" w:rsidRPr="00AC698C" w:rsidRDefault="0028187C" w:rsidP="008204F1">
            <w:pPr>
              <w:spacing w:before="100"/>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1. </w:t>
            </w:r>
            <w:proofErr w:type="spellStart"/>
            <w:r w:rsidRPr="00AC698C">
              <w:rPr>
                <w:rFonts w:ascii="Times New Roman" w:hAnsi="Times New Roman" w:cs="Times New Roman"/>
                <w:color w:val="000000"/>
                <w:sz w:val="24"/>
                <w:szCs w:val="24"/>
              </w:rPr>
              <w:t>Dawson-Saunders</w:t>
            </w:r>
            <w:proofErr w:type="spellEnd"/>
            <w:r w:rsidRPr="00AC698C">
              <w:rPr>
                <w:rFonts w:ascii="Times New Roman" w:hAnsi="Times New Roman" w:cs="Times New Roman"/>
                <w:color w:val="000000"/>
                <w:sz w:val="24"/>
                <w:szCs w:val="24"/>
              </w:rPr>
              <w:t xml:space="preserve"> B, </w:t>
            </w:r>
            <w:proofErr w:type="spellStart"/>
            <w:r w:rsidRPr="00AC698C">
              <w:rPr>
                <w:rFonts w:ascii="Times New Roman" w:hAnsi="Times New Roman" w:cs="Times New Roman"/>
                <w:color w:val="000000"/>
                <w:sz w:val="24"/>
                <w:szCs w:val="24"/>
              </w:rPr>
              <w:t>Trapp</w:t>
            </w:r>
            <w:proofErr w:type="spellEnd"/>
            <w:r w:rsidRPr="00AC698C">
              <w:rPr>
                <w:rFonts w:ascii="Times New Roman" w:hAnsi="Times New Roman" w:cs="Times New Roman"/>
                <w:color w:val="000000"/>
                <w:sz w:val="24"/>
                <w:szCs w:val="24"/>
              </w:rPr>
              <w:t xml:space="preserve"> RG. </w:t>
            </w:r>
            <w:proofErr w:type="spellStart"/>
            <w:r w:rsidRPr="00AC698C">
              <w:rPr>
                <w:rFonts w:ascii="Times New Roman" w:hAnsi="Times New Roman" w:cs="Times New Roman"/>
                <w:color w:val="000000"/>
                <w:sz w:val="24"/>
                <w:szCs w:val="24"/>
              </w:rPr>
              <w:t>Basic</w:t>
            </w:r>
            <w:proofErr w:type="spellEnd"/>
            <w:r w:rsidRPr="00AC698C">
              <w:rPr>
                <w:rFonts w:ascii="Times New Roman" w:hAnsi="Times New Roman" w:cs="Times New Roman"/>
                <w:color w:val="000000"/>
                <w:sz w:val="24"/>
                <w:szCs w:val="24"/>
              </w:rPr>
              <w:t xml:space="preserve"> &amp; </w:t>
            </w:r>
            <w:proofErr w:type="spellStart"/>
            <w:r w:rsidRPr="00AC698C">
              <w:rPr>
                <w:rFonts w:ascii="Times New Roman" w:hAnsi="Times New Roman" w:cs="Times New Roman"/>
                <w:color w:val="000000"/>
                <w:sz w:val="24"/>
                <w:szCs w:val="24"/>
              </w:rPr>
              <w:t>Clinical</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Biostatistics</w:t>
            </w:r>
            <w:proofErr w:type="spellEnd"/>
            <w:r w:rsidRPr="00AC698C">
              <w:rPr>
                <w:rFonts w:ascii="Times New Roman" w:hAnsi="Times New Roman" w:cs="Times New Roman"/>
                <w:color w:val="000000"/>
                <w:sz w:val="24"/>
                <w:szCs w:val="24"/>
              </w:rPr>
              <w:t xml:space="preserve">. 3. izdanje. </w:t>
            </w:r>
            <w:proofErr w:type="spellStart"/>
            <w:r w:rsidRPr="00AC698C">
              <w:rPr>
                <w:rFonts w:ascii="Times New Roman" w:hAnsi="Times New Roman" w:cs="Times New Roman"/>
                <w:color w:val="000000"/>
                <w:sz w:val="24"/>
                <w:szCs w:val="24"/>
              </w:rPr>
              <w:t>Prentice</w:t>
            </w:r>
            <w:proofErr w:type="spellEnd"/>
            <w:r w:rsidRPr="00AC698C">
              <w:rPr>
                <w:rFonts w:ascii="Times New Roman" w:hAnsi="Times New Roman" w:cs="Times New Roman"/>
                <w:color w:val="000000"/>
                <w:sz w:val="24"/>
                <w:szCs w:val="24"/>
              </w:rPr>
              <w:t xml:space="preserve">-Hall </w:t>
            </w:r>
            <w:proofErr w:type="spellStart"/>
            <w:r w:rsidRPr="00AC698C">
              <w:rPr>
                <w:rFonts w:ascii="Times New Roman" w:hAnsi="Times New Roman" w:cs="Times New Roman"/>
                <w:color w:val="000000"/>
                <w:sz w:val="24"/>
                <w:szCs w:val="24"/>
              </w:rPr>
              <w:t>Int</w:t>
            </w:r>
            <w:proofErr w:type="spellEnd"/>
            <w:r w:rsidRPr="00AC698C">
              <w:rPr>
                <w:rFonts w:ascii="Times New Roman" w:hAnsi="Times New Roman" w:cs="Times New Roman"/>
                <w:color w:val="000000"/>
                <w:sz w:val="24"/>
                <w:szCs w:val="24"/>
              </w:rPr>
              <w:t>. Inc., London, 2000.</w:t>
            </w:r>
          </w:p>
          <w:p w:rsidR="0028187C" w:rsidRPr="00AC698C" w:rsidRDefault="0028187C" w:rsidP="000D1C20">
            <w:pPr>
              <w:spacing w:before="100"/>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2. </w:t>
            </w:r>
            <w:proofErr w:type="spellStart"/>
            <w:r w:rsidRPr="00AC698C">
              <w:rPr>
                <w:rFonts w:ascii="Times New Roman" w:hAnsi="Times New Roman" w:cs="Times New Roman"/>
                <w:color w:val="000000"/>
                <w:sz w:val="24"/>
                <w:szCs w:val="24"/>
              </w:rPr>
              <w:t>Petrie</w:t>
            </w:r>
            <w:proofErr w:type="spellEnd"/>
            <w:r w:rsidRPr="00AC698C">
              <w:rPr>
                <w:rFonts w:ascii="Times New Roman" w:hAnsi="Times New Roman" w:cs="Times New Roman"/>
                <w:color w:val="000000"/>
                <w:sz w:val="24"/>
                <w:szCs w:val="24"/>
              </w:rPr>
              <w:t xml:space="preserve"> A, </w:t>
            </w:r>
            <w:proofErr w:type="spellStart"/>
            <w:r w:rsidRPr="00AC698C">
              <w:rPr>
                <w:rFonts w:ascii="Times New Roman" w:hAnsi="Times New Roman" w:cs="Times New Roman"/>
                <w:color w:val="000000"/>
                <w:sz w:val="24"/>
                <w:szCs w:val="24"/>
              </w:rPr>
              <w:t>Sabin</w:t>
            </w:r>
            <w:proofErr w:type="spellEnd"/>
            <w:r w:rsidRPr="00AC698C">
              <w:rPr>
                <w:rFonts w:ascii="Times New Roman" w:hAnsi="Times New Roman" w:cs="Times New Roman"/>
                <w:color w:val="000000"/>
                <w:sz w:val="24"/>
                <w:szCs w:val="24"/>
              </w:rPr>
              <w:t xml:space="preserve"> C. </w:t>
            </w:r>
            <w:proofErr w:type="spellStart"/>
            <w:r w:rsidRPr="00AC698C">
              <w:rPr>
                <w:rFonts w:ascii="Times New Roman" w:hAnsi="Times New Roman" w:cs="Times New Roman"/>
                <w:color w:val="000000"/>
                <w:sz w:val="24"/>
                <w:szCs w:val="24"/>
              </w:rPr>
              <w:t>Medical</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statistics</w:t>
            </w:r>
            <w:proofErr w:type="spellEnd"/>
            <w:r w:rsidRPr="00AC698C">
              <w:rPr>
                <w:rFonts w:ascii="Times New Roman" w:hAnsi="Times New Roman" w:cs="Times New Roman"/>
                <w:color w:val="000000"/>
                <w:sz w:val="24"/>
                <w:szCs w:val="24"/>
              </w:rPr>
              <w:t xml:space="preserve"> at a glance. </w:t>
            </w:r>
            <w:proofErr w:type="spellStart"/>
            <w:r w:rsidRPr="00AC698C">
              <w:rPr>
                <w:rFonts w:ascii="Times New Roman" w:hAnsi="Times New Roman" w:cs="Times New Roman"/>
                <w:color w:val="000000"/>
                <w:sz w:val="24"/>
                <w:szCs w:val="24"/>
              </w:rPr>
              <w:t>Blackwell</w:t>
            </w:r>
            <w:proofErr w:type="spellEnd"/>
            <w:r w:rsidRPr="00AC698C">
              <w:rPr>
                <w:rFonts w:ascii="Times New Roman" w:hAnsi="Times New Roman" w:cs="Times New Roman"/>
                <w:color w:val="000000"/>
                <w:sz w:val="24"/>
                <w:szCs w:val="24"/>
              </w:rPr>
              <w:t xml:space="preserve"> Science, </w:t>
            </w:r>
            <w:proofErr w:type="spellStart"/>
            <w:r w:rsidRPr="00AC698C">
              <w:rPr>
                <w:rFonts w:ascii="Times New Roman" w:hAnsi="Times New Roman" w:cs="Times New Roman"/>
                <w:color w:val="000000"/>
                <w:sz w:val="24"/>
                <w:szCs w:val="24"/>
              </w:rPr>
              <w:t>Oxford</w:t>
            </w:r>
            <w:proofErr w:type="spellEnd"/>
            <w:r w:rsidRPr="00AC698C">
              <w:rPr>
                <w:rFonts w:ascii="Times New Roman" w:hAnsi="Times New Roman" w:cs="Times New Roman"/>
                <w:color w:val="000000"/>
                <w:sz w:val="24"/>
                <w:szCs w:val="24"/>
              </w:rPr>
              <w:t>, 2000.</w:t>
            </w:r>
          </w:p>
        </w:tc>
      </w:tr>
      <w:tr w:rsidR="0028187C" w:rsidRPr="00AC698C" w:rsidTr="008204F1">
        <w:tc>
          <w:tcPr>
            <w:tcW w:w="4248" w:type="dxa"/>
            <w:gridSpan w:val="10"/>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Dopunska (preporučena) literatura:</w:t>
            </w:r>
          </w:p>
        </w:tc>
        <w:tc>
          <w:tcPr>
            <w:tcW w:w="6237" w:type="dxa"/>
            <w:gridSpan w:val="10"/>
            <w:tcBorders>
              <w:top w:val="single" w:sz="4" w:space="0" w:color="auto"/>
              <w:left w:val="single" w:sz="4" w:space="0" w:color="auto"/>
              <w:bottom w:val="nil"/>
              <w:right w:val="single" w:sz="4" w:space="0" w:color="auto"/>
            </w:tcBorders>
          </w:tcPr>
          <w:p w:rsidR="0028187C" w:rsidRPr="00AC698C" w:rsidRDefault="0028187C" w:rsidP="008204F1">
            <w:pPr>
              <w:rPr>
                <w:rFonts w:ascii="Times New Roman" w:hAnsi="Times New Roman" w:cs="Times New Roman"/>
                <w:color w:val="000000"/>
                <w:sz w:val="24"/>
                <w:szCs w:val="24"/>
              </w:rPr>
            </w:pPr>
          </w:p>
        </w:tc>
      </w:tr>
      <w:tr w:rsidR="0028187C" w:rsidRPr="00AC698C" w:rsidTr="008204F1">
        <w:trPr>
          <w:trHeight w:val="1862"/>
        </w:trPr>
        <w:tc>
          <w:tcPr>
            <w:tcW w:w="10485" w:type="dxa"/>
            <w:gridSpan w:val="20"/>
            <w:tcBorders>
              <w:top w:val="nil"/>
              <w:left w:val="single" w:sz="4" w:space="0" w:color="auto"/>
              <w:bottom w:val="single" w:sz="4" w:space="0" w:color="auto"/>
              <w:right w:val="single" w:sz="4" w:space="0" w:color="auto"/>
            </w:tcBorders>
          </w:tcPr>
          <w:p w:rsidR="0028187C" w:rsidRPr="00AC698C" w:rsidRDefault="0028187C" w:rsidP="008204F1">
            <w:pPr>
              <w:spacing w:before="100"/>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1. </w:t>
            </w:r>
            <w:proofErr w:type="spellStart"/>
            <w:r w:rsidRPr="00AC698C">
              <w:rPr>
                <w:rFonts w:ascii="Times New Roman" w:hAnsi="Times New Roman" w:cs="Times New Roman"/>
                <w:color w:val="000000"/>
                <w:sz w:val="24"/>
                <w:szCs w:val="24"/>
              </w:rPr>
              <w:t>Petz</w:t>
            </w:r>
            <w:proofErr w:type="spellEnd"/>
            <w:r w:rsidRPr="00AC698C">
              <w:rPr>
                <w:rFonts w:ascii="Times New Roman" w:hAnsi="Times New Roman" w:cs="Times New Roman"/>
                <w:color w:val="000000"/>
                <w:sz w:val="24"/>
                <w:szCs w:val="24"/>
              </w:rPr>
              <w:t xml:space="preserve"> B. Osnovne statističke metode za </w:t>
            </w:r>
            <w:proofErr w:type="spellStart"/>
            <w:r w:rsidRPr="00AC698C">
              <w:rPr>
                <w:rFonts w:ascii="Times New Roman" w:hAnsi="Times New Roman" w:cs="Times New Roman"/>
                <w:color w:val="000000"/>
                <w:sz w:val="24"/>
                <w:szCs w:val="24"/>
              </w:rPr>
              <w:t>nematematičare</w:t>
            </w:r>
            <w:proofErr w:type="spellEnd"/>
            <w:r w:rsidRPr="00AC698C">
              <w:rPr>
                <w:rFonts w:ascii="Times New Roman" w:hAnsi="Times New Roman" w:cs="Times New Roman"/>
                <w:color w:val="000000"/>
                <w:sz w:val="24"/>
                <w:szCs w:val="24"/>
              </w:rPr>
              <w:t xml:space="preserve">. III. dopunjeno </w:t>
            </w:r>
            <w:proofErr w:type="spellStart"/>
            <w:r w:rsidRPr="00AC698C">
              <w:rPr>
                <w:rFonts w:ascii="Times New Roman" w:hAnsi="Times New Roman" w:cs="Times New Roman"/>
                <w:color w:val="000000"/>
                <w:sz w:val="24"/>
                <w:szCs w:val="24"/>
              </w:rPr>
              <w:t>izd</w:t>
            </w:r>
            <w:proofErr w:type="spellEnd"/>
            <w:r w:rsidRPr="00AC698C">
              <w:rPr>
                <w:rFonts w:ascii="Times New Roman" w:hAnsi="Times New Roman" w:cs="Times New Roman"/>
                <w:color w:val="000000"/>
                <w:sz w:val="24"/>
                <w:szCs w:val="24"/>
              </w:rPr>
              <w:t>. Naklada Slap, Jastrebarsko, 1997.</w:t>
            </w:r>
          </w:p>
          <w:p w:rsidR="0028187C" w:rsidRPr="00AC698C" w:rsidRDefault="0028187C" w:rsidP="008204F1">
            <w:pPr>
              <w:spacing w:before="100"/>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2. Marušić M. Uvod u znanstveni rad u medicini. III. </w:t>
            </w:r>
            <w:proofErr w:type="spellStart"/>
            <w:r w:rsidRPr="00AC698C">
              <w:rPr>
                <w:rFonts w:ascii="Times New Roman" w:hAnsi="Times New Roman" w:cs="Times New Roman"/>
                <w:color w:val="000000"/>
                <w:sz w:val="24"/>
                <w:szCs w:val="24"/>
              </w:rPr>
              <w:t>obnov</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izd</w:t>
            </w:r>
            <w:proofErr w:type="spellEnd"/>
            <w:r w:rsidRPr="00AC698C">
              <w:rPr>
                <w:rFonts w:ascii="Times New Roman" w:hAnsi="Times New Roman" w:cs="Times New Roman"/>
                <w:color w:val="000000"/>
                <w:sz w:val="24"/>
                <w:szCs w:val="24"/>
              </w:rPr>
              <w:t>. Medicinska naklada, Zagreb, 2004.</w:t>
            </w:r>
          </w:p>
          <w:p w:rsidR="0028187C" w:rsidRPr="00AC698C" w:rsidRDefault="0028187C" w:rsidP="008204F1">
            <w:pPr>
              <w:spacing w:before="100"/>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3. </w:t>
            </w:r>
            <w:proofErr w:type="spellStart"/>
            <w:r w:rsidRPr="00AC698C">
              <w:rPr>
                <w:rFonts w:ascii="Times New Roman" w:hAnsi="Times New Roman" w:cs="Times New Roman"/>
                <w:color w:val="000000"/>
                <w:sz w:val="24"/>
                <w:szCs w:val="24"/>
              </w:rPr>
              <w:t>StatSoft</w:t>
            </w:r>
            <w:proofErr w:type="spellEnd"/>
            <w:r w:rsidRPr="00AC698C">
              <w:rPr>
                <w:rFonts w:ascii="Times New Roman" w:hAnsi="Times New Roman" w:cs="Times New Roman"/>
                <w:color w:val="000000"/>
                <w:sz w:val="24"/>
                <w:szCs w:val="24"/>
              </w:rPr>
              <w:t xml:space="preserve"> Inc. Electronic </w:t>
            </w:r>
            <w:proofErr w:type="spellStart"/>
            <w:r w:rsidRPr="00AC698C">
              <w:rPr>
                <w:rFonts w:ascii="Times New Roman" w:hAnsi="Times New Roman" w:cs="Times New Roman"/>
                <w:color w:val="000000"/>
                <w:sz w:val="24"/>
                <w:szCs w:val="24"/>
              </w:rPr>
              <w:t>Statistics</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Textbook</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Tulsa</w:t>
            </w:r>
            <w:proofErr w:type="spellEnd"/>
            <w:r w:rsidRPr="00AC698C">
              <w:rPr>
                <w:rFonts w:ascii="Times New Roman" w:hAnsi="Times New Roman" w:cs="Times New Roman"/>
                <w:color w:val="000000"/>
                <w:sz w:val="24"/>
                <w:szCs w:val="24"/>
              </w:rPr>
              <w:t xml:space="preserve">, OK: </w:t>
            </w:r>
            <w:proofErr w:type="spellStart"/>
            <w:r w:rsidRPr="00AC698C">
              <w:rPr>
                <w:rFonts w:ascii="Times New Roman" w:hAnsi="Times New Roman" w:cs="Times New Roman"/>
                <w:color w:val="000000"/>
                <w:sz w:val="24"/>
                <w:szCs w:val="24"/>
              </w:rPr>
              <w:t>StatSoft</w:t>
            </w:r>
            <w:proofErr w:type="spellEnd"/>
            <w:r w:rsidRPr="00AC698C">
              <w:rPr>
                <w:rFonts w:ascii="Times New Roman" w:hAnsi="Times New Roman" w:cs="Times New Roman"/>
                <w:color w:val="000000"/>
                <w:sz w:val="24"/>
                <w:szCs w:val="24"/>
              </w:rPr>
              <w:t>, 2002. (http://www.statsoft.com/textbook/stathome.html)</w:t>
            </w:r>
          </w:p>
          <w:p w:rsidR="0028187C" w:rsidRPr="00AC698C" w:rsidRDefault="0028187C" w:rsidP="008204F1">
            <w:pPr>
              <w:spacing w:before="100"/>
              <w:rPr>
                <w:rFonts w:ascii="Times New Roman" w:hAnsi="Times New Roman" w:cs="Times New Roman"/>
                <w:color w:val="000000"/>
                <w:sz w:val="24"/>
                <w:szCs w:val="24"/>
              </w:rPr>
            </w:pPr>
            <w:r w:rsidRPr="00AC698C">
              <w:rPr>
                <w:rFonts w:ascii="Times New Roman" w:hAnsi="Times New Roman" w:cs="Times New Roman"/>
                <w:color w:val="000000"/>
                <w:sz w:val="24"/>
                <w:szCs w:val="24"/>
              </w:rPr>
              <w:t xml:space="preserve">4. </w:t>
            </w:r>
            <w:proofErr w:type="spellStart"/>
            <w:r w:rsidRPr="00AC698C">
              <w:rPr>
                <w:rFonts w:ascii="Times New Roman" w:hAnsi="Times New Roman" w:cs="Times New Roman"/>
                <w:color w:val="000000"/>
                <w:sz w:val="24"/>
                <w:szCs w:val="24"/>
              </w:rPr>
              <w:t>Moher</w:t>
            </w:r>
            <w:proofErr w:type="spellEnd"/>
            <w:r w:rsidRPr="00AC698C">
              <w:rPr>
                <w:rFonts w:ascii="Times New Roman" w:hAnsi="Times New Roman" w:cs="Times New Roman"/>
                <w:color w:val="000000"/>
                <w:sz w:val="24"/>
                <w:szCs w:val="24"/>
              </w:rPr>
              <w:t xml:space="preserve"> D, </w:t>
            </w:r>
            <w:proofErr w:type="spellStart"/>
            <w:r w:rsidRPr="00AC698C">
              <w:rPr>
                <w:rFonts w:ascii="Times New Roman" w:hAnsi="Times New Roman" w:cs="Times New Roman"/>
                <w:color w:val="000000"/>
                <w:sz w:val="24"/>
                <w:szCs w:val="24"/>
              </w:rPr>
              <w:t>Schulz</w:t>
            </w:r>
            <w:proofErr w:type="spellEnd"/>
            <w:r w:rsidRPr="00AC698C">
              <w:rPr>
                <w:rFonts w:ascii="Times New Roman" w:hAnsi="Times New Roman" w:cs="Times New Roman"/>
                <w:color w:val="000000"/>
                <w:sz w:val="24"/>
                <w:szCs w:val="24"/>
              </w:rPr>
              <w:t xml:space="preserve"> KF, Altman DG, for </w:t>
            </w:r>
            <w:proofErr w:type="spellStart"/>
            <w:r w:rsidRPr="00AC698C">
              <w:rPr>
                <w:rFonts w:ascii="Times New Roman" w:hAnsi="Times New Roman" w:cs="Times New Roman"/>
                <w:color w:val="000000"/>
                <w:sz w:val="24"/>
                <w:szCs w:val="24"/>
              </w:rPr>
              <w:t>the</w:t>
            </w:r>
            <w:proofErr w:type="spellEnd"/>
            <w:r w:rsidRPr="00AC698C">
              <w:rPr>
                <w:rFonts w:ascii="Times New Roman" w:hAnsi="Times New Roman" w:cs="Times New Roman"/>
                <w:color w:val="000000"/>
                <w:sz w:val="24"/>
                <w:szCs w:val="24"/>
              </w:rPr>
              <w:t xml:space="preserve"> CONSORT Group. </w:t>
            </w:r>
            <w:proofErr w:type="spellStart"/>
            <w:r w:rsidRPr="00AC698C">
              <w:rPr>
                <w:rFonts w:ascii="Times New Roman" w:hAnsi="Times New Roman" w:cs="Times New Roman"/>
                <w:color w:val="000000"/>
                <w:sz w:val="24"/>
                <w:szCs w:val="24"/>
              </w:rPr>
              <w:t>The</w:t>
            </w:r>
            <w:proofErr w:type="spellEnd"/>
            <w:r w:rsidRPr="00AC698C">
              <w:rPr>
                <w:rFonts w:ascii="Times New Roman" w:hAnsi="Times New Roman" w:cs="Times New Roman"/>
                <w:color w:val="000000"/>
                <w:sz w:val="24"/>
                <w:szCs w:val="24"/>
              </w:rPr>
              <w:t xml:space="preserve"> CONSORT </w:t>
            </w:r>
            <w:proofErr w:type="spellStart"/>
            <w:r w:rsidRPr="00AC698C">
              <w:rPr>
                <w:rFonts w:ascii="Times New Roman" w:hAnsi="Times New Roman" w:cs="Times New Roman"/>
                <w:color w:val="000000"/>
                <w:sz w:val="24"/>
                <w:szCs w:val="24"/>
              </w:rPr>
              <w:t>statement</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revised</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recommendations</w:t>
            </w:r>
            <w:proofErr w:type="spellEnd"/>
            <w:r w:rsidRPr="00AC698C">
              <w:rPr>
                <w:rFonts w:ascii="Times New Roman" w:hAnsi="Times New Roman" w:cs="Times New Roman"/>
                <w:color w:val="000000"/>
                <w:sz w:val="24"/>
                <w:szCs w:val="24"/>
              </w:rPr>
              <w:t xml:space="preserve"> for </w:t>
            </w:r>
            <w:proofErr w:type="spellStart"/>
            <w:r w:rsidRPr="00AC698C">
              <w:rPr>
                <w:rFonts w:ascii="Times New Roman" w:hAnsi="Times New Roman" w:cs="Times New Roman"/>
                <w:color w:val="000000"/>
                <w:sz w:val="24"/>
                <w:szCs w:val="24"/>
              </w:rPr>
              <w:t>improving</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the</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quality</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of</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reports</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of</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parallel</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group</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randomized</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trials</w:t>
            </w:r>
            <w:proofErr w:type="spellEnd"/>
            <w:r w:rsidRPr="00AC698C">
              <w:rPr>
                <w:rFonts w:ascii="Times New Roman" w:hAnsi="Times New Roman" w:cs="Times New Roman"/>
                <w:color w:val="000000"/>
                <w:sz w:val="24"/>
                <w:szCs w:val="24"/>
              </w:rPr>
              <w:t xml:space="preserve">. </w:t>
            </w:r>
            <w:proofErr w:type="spellStart"/>
            <w:r w:rsidRPr="00AC698C">
              <w:rPr>
                <w:rFonts w:ascii="Times New Roman" w:hAnsi="Times New Roman" w:cs="Times New Roman"/>
                <w:color w:val="000000"/>
                <w:sz w:val="24"/>
                <w:szCs w:val="24"/>
              </w:rPr>
              <w:t>Lancet</w:t>
            </w:r>
            <w:proofErr w:type="spellEnd"/>
            <w:r w:rsidRPr="00AC698C">
              <w:rPr>
                <w:rFonts w:ascii="Times New Roman" w:hAnsi="Times New Roman" w:cs="Times New Roman"/>
                <w:color w:val="000000"/>
                <w:sz w:val="24"/>
                <w:szCs w:val="24"/>
              </w:rPr>
              <w:t xml:space="preserve"> 2001;357:1191-4. (http://www.consort-statement.org/revisedstatement.htm)</w:t>
            </w:r>
          </w:p>
        </w:tc>
      </w:tr>
      <w:tr w:rsidR="0028187C" w:rsidRPr="00AC698C" w:rsidTr="008204F1">
        <w:tc>
          <w:tcPr>
            <w:tcW w:w="7128" w:type="dxa"/>
            <w:gridSpan w:val="17"/>
            <w:tcBorders>
              <w:top w:val="single" w:sz="4" w:space="0" w:color="auto"/>
              <w:left w:val="single" w:sz="4" w:space="0" w:color="auto"/>
              <w:bottom w:val="single" w:sz="4" w:space="0" w:color="auto"/>
              <w:right w:val="single" w:sz="4" w:space="0" w:color="auto"/>
            </w:tcBorders>
            <w:shd w:val="clear" w:color="auto" w:fill="FFFFFF"/>
          </w:tcPr>
          <w:p w:rsidR="0028187C" w:rsidRPr="00AC698C" w:rsidRDefault="0028187C" w:rsidP="008204F1">
            <w:pPr>
              <w:rPr>
                <w:rFonts w:ascii="Times New Roman" w:hAnsi="Times New Roman" w:cs="Times New Roman"/>
                <w:b/>
                <w:color w:val="000000"/>
                <w:sz w:val="24"/>
                <w:szCs w:val="24"/>
              </w:rPr>
            </w:pPr>
            <w:r w:rsidRPr="00AC698C">
              <w:rPr>
                <w:rFonts w:ascii="Times New Roman" w:hAnsi="Times New Roman" w:cs="Times New Roman"/>
                <w:b/>
                <w:color w:val="000000"/>
                <w:sz w:val="24"/>
                <w:szCs w:val="24"/>
              </w:rPr>
              <w:t>Način praćenja kvalitete i uspješnosti izvedbe (evaluacija):</w:t>
            </w:r>
          </w:p>
        </w:tc>
        <w:tc>
          <w:tcPr>
            <w:tcW w:w="3357" w:type="dxa"/>
            <w:gridSpan w:val="3"/>
            <w:tcBorders>
              <w:top w:val="single" w:sz="4" w:space="0" w:color="auto"/>
              <w:left w:val="single" w:sz="4" w:space="0" w:color="auto"/>
              <w:bottom w:val="nil"/>
              <w:right w:val="single" w:sz="4" w:space="0" w:color="auto"/>
            </w:tcBorders>
          </w:tcPr>
          <w:p w:rsidR="0028187C" w:rsidRPr="00AC698C" w:rsidRDefault="0028187C" w:rsidP="008204F1">
            <w:pPr>
              <w:rPr>
                <w:rFonts w:ascii="Times New Roman" w:hAnsi="Times New Roman" w:cs="Times New Roman"/>
                <w:color w:val="000000"/>
                <w:sz w:val="24"/>
                <w:szCs w:val="24"/>
              </w:rPr>
            </w:pPr>
          </w:p>
        </w:tc>
      </w:tr>
      <w:tr w:rsidR="0028187C" w:rsidRPr="00AC698C" w:rsidTr="008204F1">
        <w:trPr>
          <w:trHeight w:val="945"/>
        </w:trPr>
        <w:tc>
          <w:tcPr>
            <w:tcW w:w="10485" w:type="dxa"/>
            <w:gridSpan w:val="20"/>
            <w:tcBorders>
              <w:top w:val="nil"/>
              <w:left w:val="single" w:sz="4" w:space="0" w:color="auto"/>
              <w:bottom w:val="single" w:sz="4" w:space="0" w:color="auto"/>
              <w:right w:val="single" w:sz="4" w:space="0" w:color="auto"/>
            </w:tcBorders>
          </w:tcPr>
          <w:p w:rsidR="0028187C" w:rsidRPr="00AC698C" w:rsidRDefault="0028187C" w:rsidP="0028187C">
            <w:pPr>
              <w:numPr>
                <w:ilvl w:val="0"/>
                <w:numId w:val="1"/>
              </w:numPr>
              <w:spacing w:before="100" w:after="0" w:line="240" w:lineRule="auto"/>
              <w:rPr>
                <w:rFonts w:ascii="Times New Roman" w:hAnsi="Times New Roman" w:cs="Times New Roman"/>
                <w:color w:val="000000"/>
                <w:sz w:val="24"/>
                <w:szCs w:val="24"/>
              </w:rPr>
            </w:pPr>
            <w:r w:rsidRPr="00AC698C">
              <w:rPr>
                <w:rFonts w:ascii="Times New Roman" w:hAnsi="Times New Roman" w:cs="Times New Roman"/>
                <w:color w:val="000000"/>
                <w:sz w:val="24"/>
                <w:szCs w:val="24"/>
              </w:rPr>
              <w:lastRenderedPageBreak/>
              <w:t>testiranje znanja na kraju svake treće vježbe</w:t>
            </w:r>
          </w:p>
          <w:p w:rsidR="0028187C" w:rsidRPr="00AC698C" w:rsidRDefault="0028187C" w:rsidP="0028187C">
            <w:pPr>
              <w:numPr>
                <w:ilvl w:val="0"/>
                <w:numId w:val="1"/>
              </w:numPr>
              <w:spacing w:before="100" w:after="0" w:line="240" w:lineRule="auto"/>
              <w:rPr>
                <w:rFonts w:ascii="Times New Roman" w:hAnsi="Times New Roman" w:cs="Times New Roman"/>
                <w:color w:val="000000"/>
                <w:sz w:val="24"/>
                <w:szCs w:val="24"/>
              </w:rPr>
            </w:pPr>
            <w:r w:rsidRPr="00AC698C">
              <w:rPr>
                <w:rFonts w:ascii="Times New Roman" w:hAnsi="Times New Roman" w:cs="Times New Roman"/>
                <w:color w:val="000000"/>
                <w:sz w:val="24"/>
                <w:szCs w:val="24"/>
              </w:rPr>
              <w:t>test na kraju nastave s anketom (anonimno)</w:t>
            </w:r>
          </w:p>
          <w:p w:rsidR="000D1C20" w:rsidRPr="00AC698C" w:rsidRDefault="000D1C20" w:rsidP="0028187C">
            <w:pPr>
              <w:numPr>
                <w:ilvl w:val="0"/>
                <w:numId w:val="1"/>
              </w:numPr>
              <w:spacing w:before="100" w:after="0" w:line="240" w:lineRule="auto"/>
              <w:rPr>
                <w:rFonts w:ascii="Times New Roman" w:hAnsi="Times New Roman" w:cs="Times New Roman"/>
                <w:color w:val="000000"/>
                <w:sz w:val="24"/>
                <w:szCs w:val="24"/>
              </w:rPr>
            </w:pPr>
            <w:r w:rsidRPr="00AC698C">
              <w:rPr>
                <w:rFonts w:ascii="Times New Roman" w:hAnsi="Times New Roman" w:cs="Times New Roman"/>
                <w:color w:val="000000"/>
                <w:sz w:val="24"/>
                <w:szCs w:val="24"/>
              </w:rPr>
              <w:t>Uspješnost kolegija će evaluirati svake godine zajedničko stručno povjerenstvo Instituta Ruđer Bošković, Sveučilišta u Dubrovniku i Sveučilišta Josipa Jurja Strossmayera u Osijeku na temelju uspjeha na ispitu i anketa.</w:t>
            </w:r>
          </w:p>
        </w:tc>
      </w:tr>
    </w:tbl>
    <w:p w:rsidR="00022241" w:rsidRPr="00AC698C" w:rsidRDefault="00022241">
      <w:pPr>
        <w:rPr>
          <w:rFonts w:ascii="Times New Roman" w:hAnsi="Times New Roman" w:cs="Times New Roman"/>
          <w:sz w:val="24"/>
          <w:szCs w:val="24"/>
        </w:rPr>
      </w:pPr>
    </w:p>
    <w:sectPr w:rsidR="00022241" w:rsidRPr="00AC698C" w:rsidSect="002818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2294"/>
    <w:multiLevelType w:val="multilevel"/>
    <w:tmpl w:val="A048723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7C"/>
    <w:rsid w:val="00022241"/>
    <w:rsid w:val="000D1C20"/>
    <w:rsid w:val="0028187C"/>
    <w:rsid w:val="00940026"/>
    <w:rsid w:val="00977E3C"/>
    <w:rsid w:val="00AA5D44"/>
    <w:rsid w:val="00AC69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E34F"/>
  <w15:chartTrackingRefBased/>
  <w15:docId w15:val="{7D692C66-698B-4F07-A93B-5082C94A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187C"/>
    <w:pPr>
      <w:keepNext/>
      <w:spacing w:after="0" w:line="240" w:lineRule="auto"/>
      <w:outlineLvl w:val="0"/>
    </w:pPr>
    <w:rPr>
      <w:rFonts w:ascii="Times New Roman" w:eastAsia="Times New Roman" w:hAnsi="Times New Roman" w:cs="Times New Roman"/>
      <w:b/>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87C"/>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Dunić</dc:creator>
  <cp:keywords/>
  <dc:description/>
  <cp:lastModifiedBy>Vera Cesar</cp:lastModifiedBy>
  <cp:revision>7</cp:revision>
  <dcterms:created xsi:type="dcterms:W3CDTF">2016-06-20T14:35:00Z</dcterms:created>
  <dcterms:modified xsi:type="dcterms:W3CDTF">2020-02-13T09:47:00Z</dcterms:modified>
</cp:coreProperties>
</file>